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B" w:rsidRDefault="00FE1FFB" w:rsidP="006845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FFB" w:rsidRDefault="00FE1FFB" w:rsidP="006845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6A4" w:rsidRPr="000800A8" w:rsidRDefault="007C16A4" w:rsidP="006845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0A8">
        <w:rPr>
          <w:rFonts w:ascii="Times New Roman" w:hAnsi="Times New Roman" w:cs="Times New Roman"/>
          <w:b/>
          <w:sz w:val="24"/>
          <w:szCs w:val="24"/>
          <w:u w:val="single"/>
        </w:rPr>
        <w:t>NOTAS EXPLICATIVAS</w:t>
      </w:r>
      <w:r w:rsidR="00FE1FF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PARTE B</w:t>
      </w:r>
      <w:r w:rsidRPr="000800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16A4" w:rsidRPr="000800A8" w:rsidRDefault="007C16A4" w:rsidP="006845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0A8">
        <w:rPr>
          <w:rFonts w:ascii="Times New Roman" w:hAnsi="Times New Roman" w:cs="Times New Roman"/>
          <w:b/>
          <w:sz w:val="24"/>
          <w:szCs w:val="24"/>
          <w:u w:val="single"/>
        </w:rPr>
        <w:t>EXERCÍCIO</w:t>
      </w:r>
      <w:r w:rsidR="000800A8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0800A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</w:p>
    <w:p w:rsidR="00FE1FFB" w:rsidRDefault="00FE1FFB" w:rsidP="00FE1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 ser o Demonstrativo de Variações Patrimoniais Quantitativas um instrumento de informação de difícil compreensão, fez-se necessário a utilização de notas explicativas para que fosse possível a composição dos saldos constantes d</w:t>
      </w:r>
      <w:r w:rsidR="003E67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mesm</w:t>
      </w:r>
      <w:r w:rsidR="003E67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 Abaixo</w:t>
      </w:r>
      <w:r w:rsidR="003E67B7">
        <w:rPr>
          <w:rFonts w:ascii="Times New Roman" w:hAnsi="Times New Roman" w:cs="Times New Roman"/>
          <w:sz w:val="24"/>
          <w:szCs w:val="24"/>
        </w:rPr>
        <w:t xml:space="preserve"> segue</w:t>
      </w:r>
      <w:r>
        <w:rPr>
          <w:rFonts w:ascii="Times New Roman" w:hAnsi="Times New Roman" w:cs="Times New Roman"/>
          <w:sz w:val="24"/>
          <w:szCs w:val="24"/>
        </w:rPr>
        <w:t xml:space="preserve"> o esboço das notas explicativas Parte B (Demonstração das Variações Patrimoniais Quantitativas):</w:t>
      </w:r>
    </w:p>
    <w:p w:rsidR="00EC0AE0" w:rsidRDefault="006845DE" w:rsidP="006845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5DE">
        <w:rPr>
          <w:rFonts w:ascii="Times New Roman" w:hAnsi="Times New Roman" w:cs="Times New Roman"/>
          <w:sz w:val="24"/>
          <w:szCs w:val="24"/>
        </w:rPr>
        <w:t>Compõe os saldos constantes da Demonstração das Variações Patrimoniais de 2015</w:t>
      </w:r>
    </w:p>
    <w:p w:rsidR="004F6354" w:rsidRDefault="004F6354" w:rsidP="00684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TABELA 1. VARIAÇÃO PATRIMONIAL AUMENTATIVA </w:t>
      </w:r>
      <w:r w:rsidR="007C16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CONTRIBUIÇÕES</w:t>
      </w:r>
      <w:r w:rsidR="007C16A4">
        <w:rPr>
          <w:rFonts w:ascii="Times New Roman" w:hAnsi="Times New Roman" w:cs="Times New Roman"/>
          <w:sz w:val="24"/>
          <w:szCs w:val="24"/>
        </w:rPr>
        <w:t xml:space="preserve"> SOCIAIS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275"/>
      </w:tblGrid>
      <w:tr w:rsidR="006845DE" w:rsidTr="00EF3753">
        <w:trPr>
          <w:trHeight w:val="180"/>
        </w:trPr>
        <w:tc>
          <w:tcPr>
            <w:tcW w:w="8505" w:type="dxa"/>
            <w:gridSpan w:val="3"/>
          </w:tcPr>
          <w:p w:rsidR="006845DE" w:rsidRPr="006845DE" w:rsidRDefault="006845DE" w:rsidP="006845D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DE">
              <w:rPr>
                <w:rFonts w:ascii="Times New Roman" w:hAnsi="Times New Roman" w:cs="Times New Roman"/>
                <w:b/>
                <w:sz w:val="24"/>
                <w:szCs w:val="24"/>
              </w:rPr>
              <w:t>VARIAÇÃO PATRIMONIAL AUMENTATIVA</w:t>
            </w:r>
          </w:p>
        </w:tc>
      </w:tr>
      <w:tr w:rsidR="00766874" w:rsidTr="00EF3753">
        <w:trPr>
          <w:trHeight w:val="180"/>
        </w:trPr>
        <w:tc>
          <w:tcPr>
            <w:tcW w:w="5812" w:type="dxa"/>
          </w:tcPr>
          <w:p w:rsidR="00766874" w:rsidRPr="006845DE" w:rsidRDefault="00766874" w:rsidP="006845D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NATUREZA</w:t>
            </w:r>
          </w:p>
        </w:tc>
        <w:tc>
          <w:tcPr>
            <w:tcW w:w="1418" w:type="dxa"/>
          </w:tcPr>
          <w:p w:rsidR="00766874" w:rsidRPr="006845DE" w:rsidRDefault="00766874" w:rsidP="0076687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275" w:type="dxa"/>
          </w:tcPr>
          <w:p w:rsidR="00766874" w:rsidRPr="006845DE" w:rsidRDefault="00766874" w:rsidP="006845D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766874" w:rsidTr="00EF3753">
        <w:trPr>
          <w:trHeight w:val="180"/>
        </w:trPr>
        <w:tc>
          <w:tcPr>
            <w:tcW w:w="5812" w:type="dxa"/>
          </w:tcPr>
          <w:p w:rsidR="00766874" w:rsidRPr="006845DE" w:rsidRDefault="00766874" w:rsidP="006845DE">
            <w:pPr>
              <w:pStyle w:val="SemEspaamen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- </w:t>
            </w:r>
            <w:r w:rsidRPr="006845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CONTRIBUIÇÕES SOCIAIS</w:t>
            </w:r>
          </w:p>
        </w:tc>
        <w:tc>
          <w:tcPr>
            <w:tcW w:w="1418" w:type="dxa"/>
          </w:tcPr>
          <w:p w:rsidR="00766874" w:rsidRPr="006845DE" w:rsidRDefault="00766874" w:rsidP="00766874">
            <w:pPr>
              <w:pStyle w:val="SemEspaamen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74" w:rsidRPr="006845DE" w:rsidRDefault="00766874" w:rsidP="00766874">
            <w:pPr>
              <w:pStyle w:val="SemEspaamen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5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683.362,76</w:t>
            </w:r>
          </w:p>
        </w:tc>
      </w:tr>
      <w:tr w:rsidR="00766874" w:rsidTr="00EF3753">
        <w:trPr>
          <w:trHeight w:val="180"/>
        </w:trPr>
        <w:tc>
          <w:tcPr>
            <w:tcW w:w="5812" w:type="dxa"/>
          </w:tcPr>
          <w:p w:rsidR="00766874" w:rsidRPr="006845DE" w:rsidRDefault="00766874" w:rsidP="006845D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Anuidades Pessoa Física do Exercício</w:t>
            </w:r>
          </w:p>
        </w:tc>
        <w:tc>
          <w:tcPr>
            <w:tcW w:w="1418" w:type="dxa"/>
          </w:tcPr>
          <w:p w:rsidR="00766874" w:rsidRPr="006845DE" w:rsidRDefault="00766874" w:rsidP="0076687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548.800,74</w:t>
            </w:r>
          </w:p>
        </w:tc>
        <w:tc>
          <w:tcPr>
            <w:tcW w:w="1275" w:type="dxa"/>
          </w:tcPr>
          <w:p w:rsidR="00766874" w:rsidRPr="006845DE" w:rsidRDefault="00766874" w:rsidP="0076687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4" w:rsidTr="00EF3753">
        <w:trPr>
          <w:trHeight w:val="180"/>
        </w:trPr>
        <w:tc>
          <w:tcPr>
            <w:tcW w:w="5812" w:type="dxa"/>
          </w:tcPr>
          <w:p w:rsidR="00766874" w:rsidRPr="006845DE" w:rsidRDefault="00766874" w:rsidP="006845D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Anuidades Pessoa Física do Exercício Anterior</w:t>
            </w:r>
          </w:p>
        </w:tc>
        <w:tc>
          <w:tcPr>
            <w:tcW w:w="1418" w:type="dxa"/>
          </w:tcPr>
          <w:p w:rsidR="00766874" w:rsidRPr="006845DE" w:rsidRDefault="00766874" w:rsidP="0076687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688,00</w:t>
            </w:r>
          </w:p>
        </w:tc>
        <w:tc>
          <w:tcPr>
            <w:tcW w:w="1275" w:type="dxa"/>
          </w:tcPr>
          <w:p w:rsidR="00766874" w:rsidRPr="006845DE" w:rsidRDefault="00766874" w:rsidP="0076687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4" w:rsidTr="00EF3753">
        <w:trPr>
          <w:trHeight w:val="180"/>
        </w:trPr>
        <w:tc>
          <w:tcPr>
            <w:tcW w:w="5812" w:type="dxa"/>
          </w:tcPr>
          <w:p w:rsidR="00766874" w:rsidRPr="006845DE" w:rsidRDefault="00766874" w:rsidP="006845D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Anuidades Pessoa Jurídica do Exercício</w:t>
            </w:r>
          </w:p>
        </w:tc>
        <w:tc>
          <w:tcPr>
            <w:tcW w:w="1418" w:type="dxa"/>
          </w:tcPr>
          <w:p w:rsidR="00766874" w:rsidRPr="006845DE" w:rsidRDefault="00766874" w:rsidP="0076687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100.380,19</w:t>
            </w:r>
          </w:p>
        </w:tc>
        <w:tc>
          <w:tcPr>
            <w:tcW w:w="1275" w:type="dxa"/>
          </w:tcPr>
          <w:p w:rsidR="00766874" w:rsidRPr="006845DE" w:rsidRDefault="00766874" w:rsidP="0076687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4" w:rsidTr="00EF3753">
        <w:trPr>
          <w:trHeight w:val="180"/>
        </w:trPr>
        <w:tc>
          <w:tcPr>
            <w:tcW w:w="5812" w:type="dxa"/>
          </w:tcPr>
          <w:p w:rsidR="00766874" w:rsidRDefault="00766874" w:rsidP="006845D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Créditos a Receber do Exercício </w:t>
            </w:r>
          </w:p>
        </w:tc>
        <w:tc>
          <w:tcPr>
            <w:tcW w:w="1418" w:type="dxa"/>
          </w:tcPr>
          <w:p w:rsidR="00766874" w:rsidRDefault="00766874" w:rsidP="0076687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74" w:rsidRDefault="00766874" w:rsidP="0076687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4" w:rsidTr="00EF3753">
        <w:trPr>
          <w:trHeight w:val="180"/>
        </w:trPr>
        <w:tc>
          <w:tcPr>
            <w:tcW w:w="5812" w:type="dxa"/>
          </w:tcPr>
          <w:p w:rsidR="00766874" w:rsidRDefault="00766874" w:rsidP="006845D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 Anuidades</w:t>
            </w:r>
          </w:p>
        </w:tc>
        <w:tc>
          <w:tcPr>
            <w:tcW w:w="1418" w:type="dxa"/>
          </w:tcPr>
          <w:p w:rsidR="00766874" w:rsidRDefault="00766874" w:rsidP="0076687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74" w:rsidRDefault="00766874" w:rsidP="0076687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4" w:rsidTr="00EF3753">
        <w:trPr>
          <w:trHeight w:val="180"/>
        </w:trPr>
        <w:tc>
          <w:tcPr>
            <w:tcW w:w="5812" w:type="dxa"/>
          </w:tcPr>
          <w:p w:rsidR="00766874" w:rsidRDefault="00766874" w:rsidP="006845D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1.1) Pessoa Física</w:t>
            </w:r>
          </w:p>
        </w:tc>
        <w:tc>
          <w:tcPr>
            <w:tcW w:w="1418" w:type="dxa"/>
          </w:tcPr>
          <w:p w:rsidR="00766874" w:rsidRDefault="00766874" w:rsidP="0076687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17.052,77</w:t>
            </w:r>
          </w:p>
        </w:tc>
        <w:tc>
          <w:tcPr>
            <w:tcW w:w="1275" w:type="dxa"/>
          </w:tcPr>
          <w:p w:rsidR="00766874" w:rsidRDefault="00766874" w:rsidP="0076687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4" w:rsidTr="00EF3753">
        <w:trPr>
          <w:trHeight w:val="180"/>
        </w:trPr>
        <w:tc>
          <w:tcPr>
            <w:tcW w:w="5812" w:type="dxa"/>
          </w:tcPr>
          <w:p w:rsidR="00766874" w:rsidRDefault="00766874" w:rsidP="006845D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1.2) Pessoa Jurídica</w:t>
            </w:r>
          </w:p>
        </w:tc>
        <w:tc>
          <w:tcPr>
            <w:tcW w:w="1418" w:type="dxa"/>
          </w:tcPr>
          <w:p w:rsidR="00766874" w:rsidRDefault="00766874" w:rsidP="00341B29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B29">
              <w:rPr>
                <w:rFonts w:ascii="Times New Roman" w:hAnsi="Times New Roman" w:cs="Times New Roman"/>
                <w:sz w:val="24"/>
                <w:szCs w:val="24"/>
              </w:rPr>
              <w:t>6.441,06</w:t>
            </w:r>
          </w:p>
        </w:tc>
        <w:tc>
          <w:tcPr>
            <w:tcW w:w="1275" w:type="dxa"/>
          </w:tcPr>
          <w:p w:rsidR="00766874" w:rsidRDefault="00766874" w:rsidP="0076687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53" w:rsidTr="00EF3753">
        <w:trPr>
          <w:trHeight w:val="180"/>
        </w:trPr>
        <w:tc>
          <w:tcPr>
            <w:tcW w:w="5812" w:type="dxa"/>
          </w:tcPr>
          <w:p w:rsidR="00EF3753" w:rsidRPr="00EF3753" w:rsidRDefault="00EF3753" w:rsidP="00EF375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53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1418" w:type="dxa"/>
          </w:tcPr>
          <w:p w:rsidR="00EF3753" w:rsidRDefault="00EF3753" w:rsidP="0076687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683.362,76</w:t>
            </w:r>
          </w:p>
        </w:tc>
        <w:tc>
          <w:tcPr>
            <w:tcW w:w="1275" w:type="dxa"/>
          </w:tcPr>
          <w:p w:rsidR="00EF3753" w:rsidRDefault="00EF3753" w:rsidP="0076687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5DE" w:rsidRDefault="006845DE" w:rsidP="006845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753" w:rsidRDefault="00EF3753" w:rsidP="00EF3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Contribuições Sociais são representadas pelas Anuidades, tanto de pessoas físicas quanto de pessoas jurídicas, e estão disciplinadas em dois grandes grupos de contas: </w:t>
      </w:r>
      <w:r w:rsidRPr="00FE1FFB">
        <w:rPr>
          <w:rFonts w:ascii="Times New Roman" w:hAnsi="Times New Roman" w:cs="Times New Roman"/>
          <w:sz w:val="24"/>
          <w:szCs w:val="24"/>
          <w:u w:val="single"/>
        </w:rPr>
        <w:t>Anuidades do Exercício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FE1FFB">
        <w:rPr>
          <w:rFonts w:ascii="Times New Roman" w:hAnsi="Times New Roman" w:cs="Times New Roman"/>
          <w:sz w:val="24"/>
          <w:szCs w:val="24"/>
          <w:u w:val="single"/>
        </w:rPr>
        <w:t>Anuidades do Exercício Anterior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48B" w:rsidRDefault="0048248B" w:rsidP="00EF3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as Anuidades de Pessoa Física do Exercício, o demonstrativo contábil a ser utilizado é o Balanço Orçamentário. As anuidades de 2015, representadas pela conta de Receita de Contribuições (Sintética), subconta Pessoa Física do Exercício</w:t>
      </w:r>
      <w:r w:rsidR="00EB7E3B">
        <w:rPr>
          <w:rFonts w:ascii="Times New Roman" w:hAnsi="Times New Roman" w:cs="Times New Roman"/>
          <w:sz w:val="24"/>
          <w:szCs w:val="24"/>
        </w:rPr>
        <w:t xml:space="preserve"> (analítica)</w:t>
      </w:r>
      <w:r>
        <w:rPr>
          <w:rFonts w:ascii="Times New Roman" w:hAnsi="Times New Roman" w:cs="Times New Roman"/>
          <w:sz w:val="24"/>
          <w:szCs w:val="24"/>
        </w:rPr>
        <w:t xml:space="preserve"> tiveram receitas realizadas no período no valor de R$ 548.800,74</w:t>
      </w:r>
      <w:r w:rsidR="00FE1FFB">
        <w:rPr>
          <w:rFonts w:ascii="Times New Roman" w:hAnsi="Times New Roman" w:cs="Times New Roman"/>
          <w:sz w:val="24"/>
          <w:szCs w:val="24"/>
        </w:rPr>
        <w:t xml:space="preserve"> (quinhentos e quarenta e oito mil, oitocentos reais e setenta e quatro centavos)</w:t>
      </w:r>
      <w:r>
        <w:rPr>
          <w:rFonts w:ascii="Times New Roman" w:hAnsi="Times New Roman" w:cs="Times New Roman"/>
          <w:sz w:val="24"/>
          <w:szCs w:val="24"/>
        </w:rPr>
        <w:t xml:space="preserve">, conforme tabela acima disposta. Estes dados foram diretamente extraídos do SICCAU, </w:t>
      </w:r>
      <w:r w:rsidR="00FE1FFB">
        <w:rPr>
          <w:rFonts w:ascii="Times New Roman" w:hAnsi="Times New Roman" w:cs="Times New Roman"/>
          <w:sz w:val="24"/>
          <w:szCs w:val="24"/>
        </w:rPr>
        <w:t>relatório</w:t>
      </w:r>
      <w:r>
        <w:rPr>
          <w:rFonts w:ascii="Times New Roman" w:hAnsi="Times New Roman" w:cs="Times New Roman"/>
          <w:sz w:val="24"/>
          <w:szCs w:val="24"/>
        </w:rPr>
        <w:t xml:space="preserve"> financeiro, o qual fora reconhecida na contabilidade de acordo com o modo de contabilização adotada junto ao CAU/BR. </w:t>
      </w:r>
    </w:p>
    <w:p w:rsidR="00EB7E3B" w:rsidRDefault="00EB7E3B" w:rsidP="00EF3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as Anuidades de Pessoa Física do Exercício Anterior, o demonstrativo contábil a ser utilizado é o Balanço Orçamentário. O valor que consta da contabilidade em 31 de dezembro de 2015 para Anuidades de Pessoa Física do Exercício Anterior (analítica) é de R$ 688,00</w:t>
      </w:r>
      <w:r w:rsidR="00FE1FFB">
        <w:rPr>
          <w:rFonts w:ascii="Times New Roman" w:hAnsi="Times New Roman" w:cs="Times New Roman"/>
          <w:sz w:val="24"/>
          <w:szCs w:val="24"/>
        </w:rPr>
        <w:t xml:space="preserve"> (seiscentos e oitenta e oito reais)</w:t>
      </w:r>
      <w:r>
        <w:rPr>
          <w:rFonts w:ascii="Times New Roman" w:hAnsi="Times New Roman" w:cs="Times New Roman"/>
          <w:sz w:val="24"/>
          <w:szCs w:val="24"/>
        </w:rPr>
        <w:t xml:space="preserve">. Quanto </w:t>
      </w:r>
      <w:r w:rsidR="00344F74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anuidades de exercícios anteriores, não há um relatório extraído do SICCAU que apresente valores confiáveis</w:t>
      </w:r>
      <w:r w:rsidR="00FE1FFB">
        <w:rPr>
          <w:rFonts w:ascii="Times New Roman" w:hAnsi="Times New Roman" w:cs="Times New Roman"/>
          <w:sz w:val="24"/>
          <w:szCs w:val="24"/>
        </w:rPr>
        <w:t xml:space="preserve"> para tanto</w:t>
      </w:r>
      <w:r w:rsidR="000800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Logo, este valor representa</w:t>
      </w:r>
      <w:r w:rsidR="00FE1FFB">
        <w:rPr>
          <w:rFonts w:ascii="Times New Roman" w:hAnsi="Times New Roman" w:cs="Times New Roman"/>
          <w:sz w:val="24"/>
          <w:szCs w:val="24"/>
        </w:rPr>
        <w:t xml:space="preserve"> somente</w:t>
      </w:r>
      <w:r>
        <w:rPr>
          <w:rFonts w:ascii="Times New Roman" w:hAnsi="Times New Roman" w:cs="Times New Roman"/>
          <w:sz w:val="24"/>
          <w:szCs w:val="24"/>
        </w:rPr>
        <w:t xml:space="preserve"> receitas auferidas junto a processos inscritos em dívida ativa</w:t>
      </w:r>
      <w:r w:rsidR="00FE1F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ainda na constância do CREA/MS e que tiveram substituição do polo ativo com a criação</w:t>
      </w:r>
      <w:r w:rsidR="00FE1FFB">
        <w:rPr>
          <w:rFonts w:ascii="Times New Roman" w:hAnsi="Times New Roman" w:cs="Times New Roman"/>
          <w:sz w:val="24"/>
          <w:szCs w:val="24"/>
        </w:rPr>
        <w:t>/constituição</w:t>
      </w:r>
      <w:r>
        <w:rPr>
          <w:rFonts w:ascii="Times New Roman" w:hAnsi="Times New Roman" w:cs="Times New Roman"/>
          <w:sz w:val="24"/>
          <w:szCs w:val="24"/>
        </w:rPr>
        <w:t xml:space="preserve"> do Conselho de Arquitetura e Urbanismo de Mato Grosso do Sul (CAU/MS). Ao todo são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5D712D">
        <w:rPr>
          <w:rFonts w:ascii="Times New Roman" w:hAnsi="Times New Roman" w:cs="Times New Roman"/>
          <w:sz w:val="24"/>
          <w:szCs w:val="24"/>
        </w:rPr>
        <w:t xml:space="preserve"> (três)</w:t>
      </w:r>
      <w:r>
        <w:rPr>
          <w:rFonts w:ascii="Times New Roman" w:hAnsi="Times New Roman" w:cs="Times New Roman"/>
          <w:sz w:val="24"/>
          <w:szCs w:val="24"/>
        </w:rPr>
        <w:t xml:space="preserve"> processos</w:t>
      </w:r>
      <w:r w:rsidR="00FE1FFB">
        <w:rPr>
          <w:rFonts w:ascii="Times New Roman" w:hAnsi="Times New Roman" w:cs="Times New Roman"/>
          <w:sz w:val="24"/>
          <w:szCs w:val="24"/>
        </w:rPr>
        <w:t xml:space="preserve"> conciliados</w:t>
      </w:r>
      <w:r>
        <w:rPr>
          <w:rFonts w:ascii="Times New Roman" w:hAnsi="Times New Roman" w:cs="Times New Roman"/>
          <w:sz w:val="24"/>
          <w:szCs w:val="24"/>
        </w:rPr>
        <w:t xml:space="preserve"> em andamento, o que representou a adimplência de dois dos três processos de acordo, e uma receita auferida nesta ordem.</w:t>
      </w:r>
    </w:p>
    <w:p w:rsidR="00FE1FFB" w:rsidRDefault="00FE1FFB" w:rsidP="00EF3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 documentação </w:t>
      </w:r>
      <w:r w:rsidR="0097555D">
        <w:rPr>
          <w:rFonts w:ascii="Times New Roman" w:hAnsi="Times New Roman" w:cs="Times New Roman"/>
          <w:sz w:val="24"/>
          <w:szCs w:val="24"/>
        </w:rPr>
        <w:t xml:space="preserve">relativa aos acordos firmados com os executados em processo de dívida ativa, oriundos do CREA/MS encontram-se dispostos na </w:t>
      </w:r>
      <w:r w:rsidR="00642CA7">
        <w:rPr>
          <w:rFonts w:ascii="Times New Roman" w:hAnsi="Times New Roman" w:cs="Times New Roman"/>
          <w:sz w:val="24"/>
          <w:szCs w:val="24"/>
        </w:rPr>
        <w:t>S</w:t>
      </w:r>
      <w:r w:rsidR="0097555D">
        <w:rPr>
          <w:rFonts w:ascii="Times New Roman" w:hAnsi="Times New Roman" w:cs="Times New Roman"/>
          <w:sz w:val="24"/>
          <w:szCs w:val="24"/>
        </w:rPr>
        <w:t>ecreta</w:t>
      </w:r>
      <w:r w:rsidR="00642CA7">
        <w:rPr>
          <w:rFonts w:ascii="Times New Roman" w:hAnsi="Times New Roman" w:cs="Times New Roman"/>
          <w:sz w:val="24"/>
          <w:szCs w:val="24"/>
        </w:rPr>
        <w:t>ria G</w:t>
      </w:r>
      <w:r w:rsidR="0097555D">
        <w:rPr>
          <w:rFonts w:ascii="Times New Roman" w:hAnsi="Times New Roman" w:cs="Times New Roman"/>
          <w:sz w:val="24"/>
          <w:szCs w:val="24"/>
        </w:rPr>
        <w:t>eral</w:t>
      </w:r>
      <w:r w:rsidR="00642CA7">
        <w:rPr>
          <w:rFonts w:ascii="Times New Roman" w:hAnsi="Times New Roman" w:cs="Times New Roman"/>
          <w:sz w:val="24"/>
          <w:szCs w:val="24"/>
        </w:rPr>
        <w:t xml:space="preserve"> do Conselho de Arquitetura e Urbanismo de Mato Grosso do Sul</w:t>
      </w:r>
      <w:r w:rsidR="0097555D">
        <w:rPr>
          <w:rFonts w:ascii="Times New Roman" w:hAnsi="Times New Roman" w:cs="Times New Roman"/>
          <w:sz w:val="24"/>
          <w:szCs w:val="24"/>
        </w:rPr>
        <w:t>, disciplinando dados do acordo, dados do executado, número do processo, entre outros.</w:t>
      </w:r>
    </w:p>
    <w:p w:rsidR="005D712D" w:rsidRDefault="00EB7E3B" w:rsidP="005D71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12D">
        <w:rPr>
          <w:rFonts w:ascii="Times New Roman" w:hAnsi="Times New Roman" w:cs="Times New Roman"/>
          <w:sz w:val="24"/>
          <w:szCs w:val="24"/>
        </w:rPr>
        <w:t xml:space="preserve">Para as Anuidades de Pessoa </w:t>
      </w:r>
      <w:r w:rsidR="00344F74">
        <w:rPr>
          <w:rFonts w:ascii="Times New Roman" w:hAnsi="Times New Roman" w:cs="Times New Roman"/>
          <w:sz w:val="24"/>
          <w:szCs w:val="24"/>
        </w:rPr>
        <w:t>Jurídica</w:t>
      </w:r>
      <w:r w:rsidR="005D712D">
        <w:rPr>
          <w:rFonts w:ascii="Times New Roman" w:hAnsi="Times New Roman" w:cs="Times New Roman"/>
          <w:sz w:val="24"/>
          <w:szCs w:val="24"/>
        </w:rPr>
        <w:t xml:space="preserve"> do Exercício, o demonstrativo contábil a ser utilizado é o Balanço Orçamentário. As anuidades de</w:t>
      </w:r>
      <w:r w:rsidR="00344F74">
        <w:rPr>
          <w:rFonts w:ascii="Times New Roman" w:hAnsi="Times New Roman" w:cs="Times New Roman"/>
          <w:sz w:val="24"/>
          <w:szCs w:val="24"/>
        </w:rPr>
        <w:t xml:space="preserve"> Pessoa Jurídica de</w:t>
      </w:r>
      <w:r w:rsidR="005D712D">
        <w:rPr>
          <w:rFonts w:ascii="Times New Roman" w:hAnsi="Times New Roman" w:cs="Times New Roman"/>
          <w:sz w:val="24"/>
          <w:szCs w:val="24"/>
        </w:rPr>
        <w:t xml:space="preserve"> 2015, representadas pela conta de Receita de Contribuições (Sintética), subconta Pessoa </w:t>
      </w:r>
      <w:r w:rsidR="00344F74">
        <w:rPr>
          <w:rFonts w:ascii="Times New Roman" w:hAnsi="Times New Roman" w:cs="Times New Roman"/>
          <w:sz w:val="24"/>
          <w:szCs w:val="24"/>
        </w:rPr>
        <w:t>Jurídica</w:t>
      </w:r>
      <w:r w:rsidR="005D712D">
        <w:rPr>
          <w:rFonts w:ascii="Times New Roman" w:hAnsi="Times New Roman" w:cs="Times New Roman"/>
          <w:sz w:val="24"/>
          <w:szCs w:val="24"/>
        </w:rPr>
        <w:t xml:space="preserve"> do Exercício (analítica) tiveram receitas realizadas no período no valor de R$ </w:t>
      </w:r>
      <w:r w:rsidR="00344F74">
        <w:rPr>
          <w:rFonts w:ascii="Times New Roman" w:hAnsi="Times New Roman" w:cs="Times New Roman"/>
          <w:sz w:val="24"/>
          <w:szCs w:val="24"/>
        </w:rPr>
        <w:t>100.380,19</w:t>
      </w:r>
      <w:r w:rsidR="0097555D">
        <w:rPr>
          <w:rFonts w:ascii="Times New Roman" w:hAnsi="Times New Roman" w:cs="Times New Roman"/>
          <w:sz w:val="24"/>
          <w:szCs w:val="24"/>
        </w:rPr>
        <w:t xml:space="preserve"> (cem mil, trezentos e oitenta reais e dezenove centavos)</w:t>
      </w:r>
      <w:r w:rsidR="005D712D">
        <w:rPr>
          <w:rFonts w:ascii="Times New Roman" w:hAnsi="Times New Roman" w:cs="Times New Roman"/>
          <w:sz w:val="24"/>
          <w:szCs w:val="24"/>
        </w:rPr>
        <w:t xml:space="preserve">, conforme tabela acima disposta. Estes dados foram diretamente extraídos do SICCAU, </w:t>
      </w:r>
      <w:r w:rsidR="0097555D">
        <w:rPr>
          <w:rFonts w:ascii="Times New Roman" w:hAnsi="Times New Roman" w:cs="Times New Roman"/>
          <w:sz w:val="24"/>
          <w:szCs w:val="24"/>
        </w:rPr>
        <w:t>relatório</w:t>
      </w:r>
      <w:r w:rsidR="005D712D">
        <w:rPr>
          <w:rFonts w:ascii="Times New Roman" w:hAnsi="Times New Roman" w:cs="Times New Roman"/>
          <w:sz w:val="24"/>
          <w:szCs w:val="24"/>
        </w:rPr>
        <w:t xml:space="preserve"> financeiro, o qual fora reconhecida na contabilidade de acordo com o modo de contabilização adotada junto ao CAU/BR. </w:t>
      </w:r>
    </w:p>
    <w:p w:rsidR="00344F74" w:rsidRDefault="00344F74" w:rsidP="005D71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aos créditos a receber do exercício, trata-se de valores reconhecidos na contabilidade assim da implantação dos valores relativos à aprovação do Plano de Ação de 2015, aprovado em comissão de finanças e sessão ordinária do CAU/UF bem como em comissão de finanças e sessão plenária ordinária do CAU/BR. Na verdade, a contabilidade, por rotina administrativa, reconhece os valores dispostos no</w:t>
      </w:r>
      <w:r w:rsidR="00F2290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lano</w:t>
      </w:r>
      <w:r w:rsidR="00F22908">
        <w:rPr>
          <w:rFonts w:ascii="Times New Roman" w:hAnsi="Times New Roman" w:cs="Times New Roman"/>
          <w:sz w:val="24"/>
          <w:szCs w:val="24"/>
        </w:rPr>
        <w:t xml:space="preserve"> de A</w:t>
      </w:r>
      <w:r>
        <w:rPr>
          <w:rFonts w:ascii="Times New Roman" w:hAnsi="Times New Roman" w:cs="Times New Roman"/>
          <w:sz w:val="24"/>
          <w:szCs w:val="24"/>
        </w:rPr>
        <w:t>ção já como valores a receber logo no início do exercício socia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l. Como as receitas auferidas (realizadas) foram abaixo dos valores reconhecidos como créditos a receber, estes valores integram as Contribuições Sociais disposta no demonstrativo contábil Variações Patrimoniais. </w:t>
      </w:r>
    </w:p>
    <w:p w:rsidR="00344F74" w:rsidRDefault="00E0230E" w:rsidP="005D71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 ressaltar que quanto </w:t>
      </w:r>
      <w:r w:rsidR="00D47132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receitas </w:t>
      </w:r>
      <w:r w:rsidR="00D47132">
        <w:rPr>
          <w:rFonts w:ascii="Times New Roman" w:hAnsi="Times New Roman" w:cs="Times New Roman"/>
          <w:sz w:val="24"/>
          <w:szCs w:val="24"/>
        </w:rPr>
        <w:t>realizadas constantes do Balanço Orçamentário e dispostas de maneira agrupada</w:t>
      </w:r>
      <w:r>
        <w:rPr>
          <w:rFonts w:ascii="Times New Roman" w:hAnsi="Times New Roman" w:cs="Times New Roman"/>
          <w:sz w:val="24"/>
          <w:szCs w:val="24"/>
        </w:rPr>
        <w:t xml:space="preserve"> no demonstrativo das Variações Patrimoniais Quantitativas, os valores foram contabilizados segundo diretrizes contábeis e gerenciais do CAU/BR e em pleno acordo com as Normas Brasileiras de Contabilidade Aplicadas ao Setor Público.  </w:t>
      </w:r>
      <w:r w:rsidR="0016546F">
        <w:rPr>
          <w:rFonts w:ascii="Times New Roman" w:hAnsi="Times New Roman" w:cs="Times New Roman"/>
          <w:sz w:val="24"/>
          <w:szCs w:val="24"/>
        </w:rPr>
        <w:t xml:space="preserve"> </w:t>
      </w:r>
      <w:r w:rsidR="00344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354" w:rsidRDefault="004F6354" w:rsidP="004F635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 – TABELA 2. VARIAÇÃO PATRIMONIAL AUMENTATIVA – EXPLORAÇÃO E VENDA DE BENS, SERVIÇOS E </w:t>
      </w:r>
      <w:proofErr w:type="gramStart"/>
      <w:r>
        <w:rPr>
          <w:rFonts w:ascii="Times New Roman" w:hAnsi="Times New Roman" w:cs="Times New Roman"/>
          <w:sz w:val="24"/>
          <w:szCs w:val="24"/>
        </w:rPr>
        <w:t>DIREITOS</w:t>
      </w:r>
      <w:proofErr w:type="gramEnd"/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1417"/>
      </w:tblGrid>
      <w:tr w:rsidR="004F6354" w:rsidTr="002E4235">
        <w:trPr>
          <w:trHeight w:val="180"/>
        </w:trPr>
        <w:tc>
          <w:tcPr>
            <w:tcW w:w="8505" w:type="dxa"/>
            <w:gridSpan w:val="3"/>
          </w:tcPr>
          <w:p w:rsidR="004F6354" w:rsidRPr="006845DE" w:rsidRDefault="004F6354" w:rsidP="002E423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DE">
              <w:rPr>
                <w:rFonts w:ascii="Times New Roman" w:hAnsi="Times New Roman" w:cs="Times New Roman"/>
                <w:b/>
                <w:sz w:val="24"/>
                <w:szCs w:val="24"/>
              </w:rPr>
              <w:t>VARIAÇÃO PATRIMONIAL AUMENTATIVA</w:t>
            </w:r>
          </w:p>
        </w:tc>
      </w:tr>
      <w:tr w:rsidR="004F6354" w:rsidTr="004F6354">
        <w:trPr>
          <w:trHeight w:val="180"/>
        </w:trPr>
        <w:tc>
          <w:tcPr>
            <w:tcW w:w="5670" w:type="dxa"/>
          </w:tcPr>
          <w:p w:rsidR="004F6354" w:rsidRPr="006845DE" w:rsidRDefault="004F6354" w:rsidP="002E423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NATUREZA</w:t>
            </w:r>
          </w:p>
        </w:tc>
        <w:tc>
          <w:tcPr>
            <w:tcW w:w="1418" w:type="dxa"/>
          </w:tcPr>
          <w:p w:rsidR="004F6354" w:rsidRPr="006845DE" w:rsidRDefault="004F6354" w:rsidP="002E423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417" w:type="dxa"/>
          </w:tcPr>
          <w:p w:rsidR="004F6354" w:rsidRPr="006845DE" w:rsidRDefault="004F6354" w:rsidP="002E423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4F6354" w:rsidTr="004F6354">
        <w:trPr>
          <w:trHeight w:val="180"/>
        </w:trPr>
        <w:tc>
          <w:tcPr>
            <w:tcW w:w="5670" w:type="dxa"/>
          </w:tcPr>
          <w:p w:rsidR="004F6354" w:rsidRPr="006845DE" w:rsidRDefault="004F6354" w:rsidP="004F6354">
            <w:pPr>
              <w:pStyle w:val="SemEspaamen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– EXPLORAÇÃO E VENDA DE BENS, SERVIÇOS E DIREITOS.</w:t>
            </w:r>
          </w:p>
        </w:tc>
        <w:tc>
          <w:tcPr>
            <w:tcW w:w="1418" w:type="dxa"/>
          </w:tcPr>
          <w:p w:rsidR="004F6354" w:rsidRPr="006845DE" w:rsidRDefault="004F6354" w:rsidP="002E4235">
            <w:pPr>
              <w:pStyle w:val="SemEspaamen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354" w:rsidRPr="006845DE" w:rsidRDefault="004F6354" w:rsidP="002E4235">
            <w:pPr>
              <w:pStyle w:val="SemEspaamen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1.504.384,40</w:t>
            </w:r>
          </w:p>
        </w:tc>
      </w:tr>
      <w:tr w:rsidR="004F6354" w:rsidTr="004F6354">
        <w:trPr>
          <w:trHeight w:val="180"/>
        </w:trPr>
        <w:tc>
          <w:tcPr>
            <w:tcW w:w="5670" w:type="dxa"/>
          </w:tcPr>
          <w:p w:rsidR="004F6354" w:rsidRPr="006845DE" w:rsidRDefault="004F6354" w:rsidP="004F6354">
            <w:pPr>
              <w:pStyle w:val="SemEspaament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Emolumentos com registro de responsabilidade</w:t>
            </w:r>
          </w:p>
        </w:tc>
        <w:tc>
          <w:tcPr>
            <w:tcW w:w="1418" w:type="dxa"/>
          </w:tcPr>
          <w:p w:rsidR="004F6354" w:rsidRPr="006845DE" w:rsidRDefault="004F6354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354" w:rsidRPr="006845DE" w:rsidRDefault="004F6354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54" w:rsidTr="004F6354">
        <w:trPr>
          <w:trHeight w:val="180"/>
        </w:trPr>
        <w:tc>
          <w:tcPr>
            <w:tcW w:w="5670" w:type="dxa"/>
          </w:tcPr>
          <w:p w:rsidR="004F6354" w:rsidRPr="006845DE" w:rsidRDefault="004F6354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RRT – Registro de Responsabilidade Técnica</w:t>
            </w:r>
          </w:p>
        </w:tc>
        <w:tc>
          <w:tcPr>
            <w:tcW w:w="1418" w:type="dxa"/>
          </w:tcPr>
          <w:p w:rsidR="004F6354" w:rsidRPr="006845DE" w:rsidRDefault="004F6354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1.498.183,94</w:t>
            </w:r>
          </w:p>
        </w:tc>
        <w:tc>
          <w:tcPr>
            <w:tcW w:w="1417" w:type="dxa"/>
          </w:tcPr>
          <w:p w:rsidR="004F6354" w:rsidRPr="006845DE" w:rsidRDefault="004F6354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54" w:rsidTr="004F6354">
        <w:trPr>
          <w:trHeight w:val="180"/>
        </w:trPr>
        <w:tc>
          <w:tcPr>
            <w:tcW w:w="5670" w:type="dxa"/>
          </w:tcPr>
          <w:p w:rsidR="004F6354" w:rsidRPr="006845DE" w:rsidRDefault="004F6354" w:rsidP="004F6354">
            <w:pPr>
              <w:pStyle w:val="SemEspaament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Emolumentos com Expedições de Certidões</w:t>
            </w:r>
          </w:p>
        </w:tc>
        <w:tc>
          <w:tcPr>
            <w:tcW w:w="1418" w:type="dxa"/>
          </w:tcPr>
          <w:p w:rsidR="004F6354" w:rsidRPr="006845DE" w:rsidRDefault="004F6354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354" w:rsidRPr="006845DE" w:rsidRDefault="004F6354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54" w:rsidTr="004F6354">
        <w:trPr>
          <w:trHeight w:val="180"/>
        </w:trPr>
        <w:tc>
          <w:tcPr>
            <w:tcW w:w="5670" w:type="dxa"/>
          </w:tcPr>
          <w:p w:rsidR="004F6354" w:rsidRDefault="004F6354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Pessoa Física</w:t>
            </w:r>
          </w:p>
        </w:tc>
        <w:tc>
          <w:tcPr>
            <w:tcW w:w="1418" w:type="dxa"/>
          </w:tcPr>
          <w:p w:rsidR="004F6354" w:rsidRDefault="004F6354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6.079,94</w:t>
            </w:r>
          </w:p>
        </w:tc>
        <w:tc>
          <w:tcPr>
            <w:tcW w:w="1417" w:type="dxa"/>
          </w:tcPr>
          <w:p w:rsidR="004F6354" w:rsidRDefault="004F6354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54" w:rsidTr="004F6354">
        <w:trPr>
          <w:trHeight w:val="180"/>
        </w:trPr>
        <w:tc>
          <w:tcPr>
            <w:tcW w:w="5670" w:type="dxa"/>
          </w:tcPr>
          <w:p w:rsidR="004F6354" w:rsidRDefault="004F6354" w:rsidP="004F6354">
            <w:pPr>
              <w:pStyle w:val="SemEspaament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Receitas Diversas</w:t>
            </w:r>
          </w:p>
        </w:tc>
        <w:tc>
          <w:tcPr>
            <w:tcW w:w="1418" w:type="dxa"/>
          </w:tcPr>
          <w:p w:rsidR="004F6354" w:rsidRDefault="004F6354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354" w:rsidRDefault="004F6354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54" w:rsidTr="004F6354">
        <w:trPr>
          <w:trHeight w:val="180"/>
        </w:trPr>
        <w:tc>
          <w:tcPr>
            <w:tcW w:w="5670" w:type="dxa"/>
          </w:tcPr>
          <w:p w:rsidR="004F6354" w:rsidRDefault="004F6354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Direitos Autorais</w:t>
            </w:r>
          </w:p>
        </w:tc>
        <w:tc>
          <w:tcPr>
            <w:tcW w:w="1418" w:type="dxa"/>
          </w:tcPr>
          <w:p w:rsidR="004F6354" w:rsidRDefault="004F6354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120,52</w:t>
            </w:r>
          </w:p>
        </w:tc>
        <w:tc>
          <w:tcPr>
            <w:tcW w:w="1417" w:type="dxa"/>
          </w:tcPr>
          <w:p w:rsidR="004F6354" w:rsidRDefault="004F6354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54" w:rsidTr="004F6354">
        <w:trPr>
          <w:trHeight w:val="180"/>
        </w:trPr>
        <w:tc>
          <w:tcPr>
            <w:tcW w:w="5670" w:type="dxa"/>
          </w:tcPr>
          <w:p w:rsidR="004F6354" w:rsidRPr="00EF3753" w:rsidRDefault="004F6354" w:rsidP="002E423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53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1418" w:type="dxa"/>
          </w:tcPr>
          <w:p w:rsidR="004F6354" w:rsidRDefault="004F6354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3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1.504.384,40</w:t>
            </w:r>
          </w:p>
        </w:tc>
        <w:tc>
          <w:tcPr>
            <w:tcW w:w="1417" w:type="dxa"/>
          </w:tcPr>
          <w:p w:rsidR="004F6354" w:rsidRDefault="004F6354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354" w:rsidRDefault="004F6354" w:rsidP="004F635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01EA0" w:rsidRDefault="004F6354" w:rsidP="004F6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as variações patrimoniais aumentativas decorrentes da Exploração e venda de bens, serviços e direitos, todos os dados foram extraídos do Balanço Orçamentário. </w:t>
      </w:r>
    </w:p>
    <w:p w:rsidR="00001EA0" w:rsidRDefault="009F1EF5" w:rsidP="004F6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receita realizada com emolumentos com registro de responsabilidade técnica – RRT fo</w:t>
      </w:r>
      <w:r w:rsidR="00001E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de R$ 1.498.183,94</w:t>
      </w:r>
      <w:r w:rsidR="00BD171C">
        <w:rPr>
          <w:rFonts w:ascii="Times New Roman" w:hAnsi="Times New Roman" w:cs="Times New Roman"/>
          <w:sz w:val="24"/>
          <w:szCs w:val="24"/>
        </w:rPr>
        <w:t xml:space="preserve"> (Um milhão quatrocentos e noventa e oito mil, cento e oitenta e três reais e noventa e quatro centavos)</w:t>
      </w:r>
      <w:r>
        <w:rPr>
          <w:rFonts w:ascii="Times New Roman" w:hAnsi="Times New Roman" w:cs="Times New Roman"/>
          <w:sz w:val="24"/>
          <w:szCs w:val="24"/>
        </w:rPr>
        <w:t xml:space="preserve">, de acordo com os dados extraídos do SICCAU, </w:t>
      </w:r>
      <w:r w:rsidR="00BD171C">
        <w:rPr>
          <w:rFonts w:ascii="Times New Roman" w:hAnsi="Times New Roman" w:cs="Times New Roman"/>
          <w:sz w:val="24"/>
          <w:szCs w:val="24"/>
        </w:rPr>
        <w:t xml:space="preserve">relatório </w:t>
      </w:r>
      <w:r>
        <w:rPr>
          <w:rFonts w:ascii="Times New Roman" w:hAnsi="Times New Roman" w:cs="Times New Roman"/>
          <w:sz w:val="24"/>
          <w:szCs w:val="24"/>
        </w:rPr>
        <w:t xml:space="preserve">financeiro. Em comparação com os dados extraídos da </w:t>
      </w:r>
      <w:r w:rsidR="000539B2">
        <w:rPr>
          <w:rFonts w:ascii="Times New Roman" w:hAnsi="Times New Roman" w:cs="Times New Roman"/>
          <w:sz w:val="24"/>
          <w:szCs w:val="24"/>
        </w:rPr>
        <w:t>Variação Patrimonial Aumentativa</w:t>
      </w:r>
      <w:r>
        <w:rPr>
          <w:rFonts w:ascii="Times New Roman" w:hAnsi="Times New Roman" w:cs="Times New Roman"/>
          <w:sz w:val="24"/>
          <w:szCs w:val="24"/>
        </w:rPr>
        <w:t xml:space="preserve"> do exercício soc</w:t>
      </w:r>
      <w:r w:rsidR="00BD171C">
        <w:rPr>
          <w:rFonts w:ascii="Times New Roman" w:hAnsi="Times New Roman" w:cs="Times New Roman"/>
          <w:sz w:val="24"/>
          <w:szCs w:val="24"/>
        </w:rPr>
        <w:t>ial do ano anterior, fica nítida</w:t>
      </w:r>
      <w:r>
        <w:rPr>
          <w:rFonts w:ascii="Times New Roman" w:hAnsi="Times New Roman" w:cs="Times New Roman"/>
          <w:sz w:val="24"/>
          <w:szCs w:val="24"/>
        </w:rPr>
        <w:t xml:space="preserve"> uma queda na arrecadação do exercício em relação a receitas com emolumentos com registro de responsabilidade técnica na ordem de</w:t>
      </w:r>
      <w:r w:rsidR="00001EA0">
        <w:rPr>
          <w:rFonts w:ascii="Times New Roman" w:hAnsi="Times New Roman" w:cs="Times New Roman"/>
          <w:sz w:val="24"/>
          <w:szCs w:val="24"/>
        </w:rPr>
        <w:t xml:space="preserve"> 10,8936%. </w:t>
      </w:r>
    </w:p>
    <w:p w:rsidR="00D47132" w:rsidRDefault="00001EA0" w:rsidP="004F6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às receitas com emolumentos com Expedição de Certidões houve um reconhecimento de receitas na ordem de R$ 6.079,94</w:t>
      </w:r>
      <w:r w:rsidR="00BD171C">
        <w:rPr>
          <w:rFonts w:ascii="Times New Roman" w:hAnsi="Times New Roman" w:cs="Times New Roman"/>
          <w:sz w:val="24"/>
          <w:szCs w:val="24"/>
        </w:rPr>
        <w:t xml:space="preserve"> (Seis mil e setenta e nove reais e noventa e quatro centavos)</w:t>
      </w:r>
      <w:r>
        <w:rPr>
          <w:rFonts w:ascii="Times New Roman" w:hAnsi="Times New Roman" w:cs="Times New Roman"/>
          <w:sz w:val="24"/>
          <w:szCs w:val="24"/>
        </w:rPr>
        <w:t>, constantes como observado acima no Balanço Orçamentário do período. Estas receitas representam os valores recebidos a título de receitas com expedições de certidões junto ao CAU/UF. Em 2014, o CAU/MS não obteve receitas com Emolumentos com expedições de certidões</w:t>
      </w:r>
      <w:r w:rsidR="00D47132">
        <w:rPr>
          <w:rFonts w:ascii="Times New Roman" w:hAnsi="Times New Roman" w:cs="Times New Roman"/>
          <w:sz w:val="24"/>
          <w:szCs w:val="24"/>
        </w:rPr>
        <w:t>.</w:t>
      </w:r>
    </w:p>
    <w:p w:rsidR="00D47132" w:rsidRDefault="00D47132" w:rsidP="004F6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receitas diversas estão reconhecidas as receitas com Direitos Autorais no valor de R$ 120,52</w:t>
      </w:r>
      <w:r w:rsidR="00D46CC5">
        <w:rPr>
          <w:rFonts w:ascii="Times New Roman" w:hAnsi="Times New Roman" w:cs="Times New Roman"/>
          <w:sz w:val="24"/>
          <w:szCs w:val="24"/>
        </w:rPr>
        <w:t xml:space="preserve"> (Cento e vinte reais e cinquenta e dois centavos)</w:t>
      </w:r>
      <w:r>
        <w:rPr>
          <w:rFonts w:ascii="Times New Roman" w:hAnsi="Times New Roman" w:cs="Times New Roman"/>
          <w:sz w:val="24"/>
          <w:szCs w:val="24"/>
        </w:rPr>
        <w:t>. Este dado fora extraído do relatório financeiro gerado no SICCAU</w:t>
      </w:r>
      <w:r w:rsidR="00D46CC5">
        <w:rPr>
          <w:rFonts w:ascii="Times New Roman" w:hAnsi="Times New Roman" w:cs="Times New Roman"/>
          <w:sz w:val="24"/>
          <w:szCs w:val="24"/>
        </w:rPr>
        <w:t>, também do relatório financeiro,</w:t>
      </w:r>
      <w:r>
        <w:rPr>
          <w:rFonts w:ascii="Times New Roman" w:hAnsi="Times New Roman" w:cs="Times New Roman"/>
          <w:sz w:val="24"/>
          <w:szCs w:val="24"/>
        </w:rPr>
        <w:t xml:space="preserve"> para o exercício em questão.</w:t>
      </w:r>
    </w:p>
    <w:p w:rsidR="00D47132" w:rsidRDefault="00001EA0" w:rsidP="00D47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EF5">
        <w:rPr>
          <w:rFonts w:ascii="Times New Roman" w:hAnsi="Times New Roman" w:cs="Times New Roman"/>
          <w:sz w:val="24"/>
          <w:szCs w:val="24"/>
        </w:rPr>
        <w:t xml:space="preserve">   </w:t>
      </w:r>
      <w:r w:rsidR="00D47132">
        <w:rPr>
          <w:rFonts w:ascii="Times New Roman" w:hAnsi="Times New Roman" w:cs="Times New Roman"/>
          <w:sz w:val="24"/>
          <w:szCs w:val="24"/>
        </w:rPr>
        <w:t xml:space="preserve">Cabe ressaltar que quanto às receitas realizadas constantes do Balanço Orçamentário e dispostas de maneira agrupada no demonstrativo das Variações Patrimoniais Quantitativas, os valores foram contabilizados segundo diretrizes contábeis e gerenciais do CAU/BR e em pleno acordo com as Normas Brasileiras de Contabilidade Aplicadas ao Setor Público.    </w:t>
      </w:r>
    </w:p>
    <w:p w:rsidR="00D47132" w:rsidRDefault="00D47132" w:rsidP="00D4713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– TABELA 3. VARIAÇÕES PATRIMONIAIS AUMENTATIVAS – FINANCEIRAS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275"/>
      </w:tblGrid>
      <w:tr w:rsidR="00D47132" w:rsidTr="002E4235">
        <w:trPr>
          <w:trHeight w:val="180"/>
        </w:trPr>
        <w:tc>
          <w:tcPr>
            <w:tcW w:w="8505" w:type="dxa"/>
            <w:gridSpan w:val="3"/>
          </w:tcPr>
          <w:p w:rsidR="00D47132" w:rsidRPr="006845DE" w:rsidRDefault="00D47132" w:rsidP="002E423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DE">
              <w:rPr>
                <w:rFonts w:ascii="Times New Roman" w:hAnsi="Times New Roman" w:cs="Times New Roman"/>
                <w:b/>
                <w:sz w:val="24"/>
                <w:szCs w:val="24"/>
              </w:rPr>
              <w:t>VARIAÇÃO PATRIMONIAL AUMENTATIVA</w:t>
            </w:r>
          </w:p>
        </w:tc>
      </w:tr>
      <w:tr w:rsidR="00D47132" w:rsidTr="002E4235">
        <w:trPr>
          <w:trHeight w:val="180"/>
        </w:trPr>
        <w:tc>
          <w:tcPr>
            <w:tcW w:w="5812" w:type="dxa"/>
          </w:tcPr>
          <w:p w:rsidR="00D47132" w:rsidRPr="006845DE" w:rsidRDefault="00D47132" w:rsidP="002E423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NATUREZA</w:t>
            </w:r>
          </w:p>
        </w:tc>
        <w:tc>
          <w:tcPr>
            <w:tcW w:w="1418" w:type="dxa"/>
          </w:tcPr>
          <w:p w:rsidR="00D47132" w:rsidRPr="006845DE" w:rsidRDefault="00D47132" w:rsidP="002E423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275" w:type="dxa"/>
          </w:tcPr>
          <w:p w:rsidR="00D47132" w:rsidRPr="006845DE" w:rsidRDefault="00D47132" w:rsidP="002E423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D47132" w:rsidTr="002E4235">
        <w:trPr>
          <w:trHeight w:val="180"/>
        </w:trPr>
        <w:tc>
          <w:tcPr>
            <w:tcW w:w="5812" w:type="dxa"/>
          </w:tcPr>
          <w:p w:rsidR="00D47132" w:rsidRPr="006845DE" w:rsidRDefault="00D47132" w:rsidP="002E4235">
            <w:pPr>
              <w:pStyle w:val="SemEspaamen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– VARIAÇÕES PATRIMONIAIS AUMENTATIVAS FINANCEIRAS</w:t>
            </w:r>
          </w:p>
        </w:tc>
        <w:tc>
          <w:tcPr>
            <w:tcW w:w="1418" w:type="dxa"/>
          </w:tcPr>
          <w:p w:rsidR="00D47132" w:rsidRPr="006845DE" w:rsidRDefault="00D47132" w:rsidP="002E4235">
            <w:pPr>
              <w:pStyle w:val="SemEspaamen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132" w:rsidRPr="006845DE" w:rsidRDefault="00D47132" w:rsidP="002E4235">
            <w:pPr>
              <w:pStyle w:val="SemEspaamen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160.120,79</w:t>
            </w:r>
          </w:p>
        </w:tc>
      </w:tr>
      <w:tr w:rsidR="00D47132" w:rsidTr="002E4235">
        <w:trPr>
          <w:trHeight w:val="180"/>
        </w:trPr>
        <w:tc>
          <w:tcPr>
            <w:tcW w:w="5812" w:type="dxa"/>
          </w:tcPr>
          <w:p w:rsidR="00D47132" w:rsidRPr="006845DE" w:rsidRDefault="00D47132" w:rsidP="00D47132">
            <w:pPr>
              <w:pStyle w:val="SemEspaament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Receitas com juros de mora sobre anuidades</w:t>
            </w:r>
          </w:p>
        </w:tc>
        <w:tc>
          <w:tcPr>
            <w:tcW w:w="1418" w:type="dxa"/>
          </w:tcPr>
          <w:p w:rsidR="00D47132" w:rsidRPr="006845DE" w:rsidRDefault="00D4713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13.769,14</w:t>
            </w:r>
          </w:p>
        </w:tc>
        <w:tc>
          <w:tcPr>
            <w:tcW w:w="1275" w:type="dxa"/>
          </w:tcPr>
          <w:p w:rsidR="00D47132" w:rsidRPr="006845DE" w:rsidRDefault="00D4713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32" w:rsidTr="002E4235">
        <w:trPr>
          <w:trHeight w:val="180"/>
        </w:trPr>
        <w:tc>
          <w:tcPr>
            <w:tcW w:w="5812" w:type="dxa"/>
          </w:tcPr>
          <w:p w:rsidR="00D47132" w:rsidRPr="006845DE" w:rsidRDefault="00D47132" w:rsidP="00D47132">
            <w:pPr>
              <w:pStyle w:val="SemEspaament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Receitas com atualização monetária sobre anuidade</w:t>
            </w:r>
          </w:p>
        </w:tc>
        <w:tc>
          <w:tcPr>
            <w:tcW w:w="1418" w:type="dxa"/>
          </w:tcPr>
          <w:p w:rsidR="00D47132" w:rsidRPr="006845DE" w:rsidRDefault="00D4713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2.437,59</w:t>
            </w:r>
          </w:p>
        </w:tc>
        <w:tc>
          <w:tcPr>
            <w:tcW w:w="1275" w:type="dxa"/>
          </w:tcPr>
          <w:p w:rsidR="00D47132" w:rsidRPr="006845DE" w:rsidRDefault="00D4713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32" w:rsidTr="002E4235">
        <w:trPr>
          <w:trHeight w:val="180"/>
        </w:trPr>
        <w:tc>
          <w:tcPr>
            <w:tcW w:w="5812" w:type="dxa"/>
          </w:tcPr>
          <w:p w:rsidR="00D47132" w:rsidRPr="006845DE" w:rsidRDefault="0028318F" w:rsidP="00D47132">
            <w:pPr>
              <w:pStyle w:val="SemEspaament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Receitas com documentos de fiscalização (multas de infrações)</w:t>
            </w:r>
          </w:p>
        </w:tc>
        <w:tc>
          <w:tcPr>
            <w:tcW w:w="1418" w:type="dxa"/>
          </w:tcPr>
          <w:p w:rsidR="00D47132" w:rsidRPr="006845DE" w:rsidRDefault="0028318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7.986,77</w:t>
            </w:r>
          </w:p>
        </w:tc>
        <w:tc>
          <w:tcPr>
            <w:tcW w:w="1275" w:type="dxa"/>
          </w:tcPr>
          <w:p w:rsidR="00D47132" w:rsidRPr="006845DE" w:rsidRDefault="00D4713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32" w:rsidTr="002E4235">
        <w:trPr>
          <w:trHeight w:val="180"/>
        </w:trPr>
        <w:tc>
          <w:tcPr>
            <w:tcW w:w="5812" w:type="dxa"/>
          </w:tcPr>
          <w:p w:rsidR="00D47132" w:rsidRDefault="0028318F" w:rsidP="0028318F">
            <w:pPr>
              <w:pStyle w:val="SemEspaament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Receitas com multa sobre anuidades – Pessoa Física</w:t>
            </w:r>
          </w:p>
        </w:tc>
        <w:tc>
          <w:tcPr>
            <w:tcW w:w="1418" w:type="dxa"/>
          </w:tcPr>
          <w:p w:rsidR="00D47132" w:rsidRDefault="0028318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20.901,56</w:t>
            </w:r>
          </w:p>
        </w:tc>
        <w:tc>
          <w:tcPr>
            <w:tcW w:w="1275" w:type="dxa"/>
          </w:tcPr>
          <w:p w:rsidR="00D47132" w:rsidRDefault="00D4713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32" w:rsidTr="002E4235">
        <w:trPr>
          <w:trHeight w:val="180"/>
        </w:trPr>
        <w:tc>
          <w:tcPr>
            <w:tcW w:w="5812" w:type="dxa"/>
          </w:tcPr>
          <w:p w:rsidR="00D47132" w:rsidRDefault="0028318F" w:rsidP="0028318F">
            <w:pPr>
              <w:pStyle w:val="SemEspaament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Rendimentos de Aplicação Financeira – CDB/RDB títulos de renda fixa</w:t>
            </w:r>
          </w:p>
        </w:tc>
        <w:tc>
          <w:tcPr>
            <w:tcW w:w="1418" w:type="dxa"/>
          </w:tcPr>
          <w:p w:rsidR="00D47132" w:rsidRDefault="0028318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115.025,73</w:t>
            </w:r>
          </w:p>
        </w:tc>
        <w:tc>
          <w:tcPr>
            <w:tcW w:w="1275" w:type="dxa"/>
          </w:tcPr>
          <w:p w:rsidR="00D47132" w:rsidRDefault="00D4713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32" w:rsidTr="002E4235">
        <w:trPr>
          <w:trHeight w:val="180"/>
        </w:trPr>
        <w:tc>
          <w:tcPr>
            <w:tcW w:w="5812" w:type="dxa"/>
          </w:tcPr>
          <w:p w:rsidR="00D47132" w:rsidRPr="00EF3753" w:rsidRDefault="00D47132" w:rsidP="002E423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53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1418" w:type="dxa"/>
          </w:tcPr>
          <w:p w:rsidR="00D47132" w:rsidRDefault="0028318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160.120,79</w:t>
            </w:r>
          </w:p>
        </w:tc>
        <w:tc>
          <w:tcPr>
            <w:tcW w:w="1275" w:type="dxa"/>
          </w:tcPr>
          <w:p w:rsidR="00D47132" w:rsidRDefault="00D4713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132" w:rsidRDefault="00D47132" w:rsidP="00D4713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318F" w:rsidRDefault="0028318F" w:rsidP="00283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as Variações Patrimoniais </w:t>
      </w:r>
      <w:r w:rsidR="007C16A4">
        <w:rPr>
          <w:rFonts w:ascii="Times New Roman" w:hAnsi="Times New Roman" w:cs="Times New Roman"/>
          <w:sz w:val="24"/>
          <w:szCs w:val="24"/>
        </w:rPr>
        <w:t>Aumentativas</w:t>
      </w:r>
      <w:r>
        <w:rPr>
          <w:rFonts w:ascii="Times New Roman" w:hAnsi="Times New Roman" w:cs="Times New Roman"/>
          <w:sz w:val="24"/>
          <w:szCs w:val="24"/>
        </w:rPr>
        <w:t xml:space="preserve"> Financeiras, para a contabilidade estes valores estão dispostos em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(cinco) grande grupos de contas: a) Juros de Mora sobre Anuidades; b) Receitas com Atualização Monetária sobre Anuidades; c) Receitas com Atualização Monetária sobre Multas de Infrações; d) Multas sobre Anuidades; e) Receitas com rendimentos de Aplicação Financeira (CDB/RDB – Títulos de Renda Fixa).</w:t>
      </w:r>
    </w:p>
    <w:p w:rsidR="000539B2" w:rsidRDefault="007928A4" w:rsidP="00283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tópico há uma grande divisão quanto ao reconhecimento das receitas acima dispostas (tabela 3). Para as receitas dispostas nas letras “a”, “b”, “c” e “d”</w:t>
      </w:r>
      <w:r w:rsidR="003346EB">
        <w:rPr>
          <w:rFonts w:ascii="Times New Roman" w:hAnsi="Times New Roman" w:cs="Times New Roman"/>
          <w:sz w:val="24"/>
          <w:szCs w:val="24"/>
        </w:rPr>
        <w:t xml:space="preserve">, os dados são todos extraídos dos relatórios financeiros constantes do SICCAU. </w:t>
      </w:r>
      <w:r w:rsidR="000539B2">
        <w:rPr>
          <w:rFonts w:ascii="Times New Roman" w:hAnsi="Times New Roman" w:cs="Times New Roman"/>
          <w:sz w:val="24"/>
          <w:szCs w:val="24"/>
        </w:rPr>
        <w:t xml:space="preserve">Já para as receitas realizadas constantes da letra “e”, os valores são extraídos dos extratos bancários relativos </w:t>
      </w:r>
      <w:r w:rsidR="00D46CC5">
        <w:rPr>
          <w:rFonts w:ascii="Times New Roman" w:hAnsi="Times New Roman" w:cs="Times New Roman"/>
          <w:sz w:val="24"/>
          <w:szCs w:val="24"/>
        </w:rPr>
        <w:t>à</w:t>
      </w:r>
      <w:r w:rsidR="000539B2">
        <w:rPr>
          <w:rFonts w:ascii="Times New Roman" w:hAnsi="Times New Roman" w:cs="Times New Roman"/>
          <w:sz w:val="24"/>
          <w:szCs w:val="24"/>
        </w:rPr>
        <w:t xml:space="preserve"> conta de aplicação financeira do período.</w:t>
      </w:r>
    </w:p>
    <w:p w:rsidR="003346EB" w:rsidRDefault="003346EB" w:rsidP="00283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os valores reconhecidos na contabilidade como receita tem como contrapartida algum relatório, ainda que de cunho gerencial, extraído ou do SICCAU ou de extrato bancário.</w:t>
      </w:r>
    </w:p>
    <w:p w:rsidR="003346EB" w:rsidRDefault="003346EB" w:rsidP="00283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receita com Juros de Mora sobre Anuidades representa valores reconhecidos na contabilidade</w:t>
      </w:r>
      <w:r w:rsidR="000539B2">
        <w:rPr>
          <w:rFonts w:ascii="Times New Roman" w:hAnsi="Times New Roman" w:cs="Times New Roman"/>
          <w:sz w:val="24"/>
          <w:szCs w:val="24"/>
        </w:rPr>
        <w:t xml:space="preserve"> e,</w:t>
      </w:r>
      <w:r>
        <w:rPr>
          <w:rFonts w:ascii="Times New Roman" w:hAnsi="Times New Roman" w:cs="Times New Roman"/>
          <w:sz w:val="24"/>
          <w:szCs w:val="24"/>
        </w:rPr>
        <w:t xml:space="preserve"> que estão de inteiro acordo e teor com dispositivos legais que regulamentam a aplicação dos juros de mora</w:t>
      </w:r>
      <w:r w:rsidR="000539B2">
        <w:rPr>
          <w:rFonts w:ascii="Times New Roman" w:hAnsi="Times New Roman" w:cs="Times New Roman"/>
          <w:sz w:val="24"/>
          <w:szCs w:val="24"/>
        </w:rPr>
        <w:t xml:space="preserve"> sobre as anuidades e demais tributos em atraso, pagos pelos arquitetos e urbanistas de Mato Grosso do Sul</w:t>
      </w:r>
      <w:r>
        <w:rPr>
          <w:rFonts w:ascii="Times New Roman" w:hAnsi="Times New Roman" w:cs="Times New Roman"/>
          <w:sz w:val="24"/>
          <w:szCs w:val="24"/>
        </w:rPr>
        <w:t xml:space="preserve">. O mesmo ocorre para </w:t>
      </w:r>
      <w:r w:rsidR="00EB211B">
        <w:rPr>
          <w:rFonts w:ascii="Times New Roman" w:hAnsi="Times New Roman" w:cs="Times New Roman"/>
          <w:sz w:val="24"/>
          <w:szCs w:val="24"/>
        </w:rPr>
        <w:t>as receitas com atualização monetária, multa de infrações e multas sobre anuidades.</w:t>
      </w:r>
    </w:p>
    <w:p w:rsidR="0028318F" w:rsidRDefault="003346EB" w:rsidP="00283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disposto acima, o Conselho de Arquitetura e Urbanismo de Mato Grosso do Sul possui aplicado em títulos de renda fixa CDB/RDB o valor de R$ 792.856,87</w:t>
      </w:r>
      <w:r w:rsidR="00D46CC5">
        <w:rPr>
          <w:rFonts w:ascii="Times New Roman" w:hAnsi="Times New Roman" w:cs="Times New Roman"/>
          <w:sz w:val="24"/>
          <w:szCs w:val="24"/>
        </w:rPr>
        <w:t xml:space="preserve"> (Setecentos e noventa e dois mil, oitocentos e cinquenta e seis reais e oitenta e sete centavos)</w:t>
      </w:r>
      <w:r>
        <w:rPr>
          <w:rFonts w:ascii="Times New Roman" w:hAnsi="Times New Roman" w:cs="Times New Roman"/>
          <w:sz w:val="24"/>
          <w:szCs w:val="24"/>
        </w:rPr>
        <w:t xml:space="preserve">, em 31 de dezembro de 2015, valor este extraído do balancete contábil do </w:t>
      </w:r>
      <w:r>
        <w:rPr>
          <w:rFonts w:ascii="Times New Roman" w:hAnsi="Times New Roman" w:cs="Times New Roman"/>
          <w:sz w:val="24"/>
          <w:szCs w:val="24"/>
        </w:rPr>
        <w:lastRenderedPageBreak/>
        <w:t>período. Este tipo de aplicação financeira</w:t>
      </w:r>
      <w:r w:rsidR="00D46CC5">
        <w:rPr>
          <w:rFonts w:ascii="Times New Roman" w:hAnsi="Times New Roman" w:cs="Times New Roman"/>
          <w:sz w:val="24"/>
          <w:szCs w:val="24"/>
        </w:rPr>
        <w:t xml:space="preserve"> (Título de renda Fixa CDB/RDB)</w:t>
      </w:r>
      <w:r>
        <w:rPr>
          <w:rFonts w:ascii="Times New Roman" w:hAnsi="Times New Roman" w:cs="Times New Roman"/>
          <w:sz w:val="24"/>
          <w:szCs w:val="24"/>
        </w:rPr>
        <w:t xml:space="preserve"> gerou para o CAU/MS uma receita financeira de R$ 115.025,73</w:t>
      </w:r>
      <w:r w:rsidR="00D46CC5">
        <w:rPr>
          <w:rFonts w:ascii="Times New Roman" w:hAnsi="Times New Roman" w:cs="Times New Roman"/>
          <w:sz w:val="24"/>
          <w:szCs w:val="24"/>
        </w:rPr>
        <w:t xml:space="preserve"> (Cento e quinze mil e vinte e cinco reais e setenta e três centavos)</w:t>
      </w:r>
      <w:r>
        <w:rPr>
          <w:rFonts w:ascii="Times New Roman" w:hAnsi="Times New Roman" w:cs="Times New Roman"/>
          <w:sz w:val="24"/>
          <w:szCs w:val="24"/>
        </w:rPr>
        <w:t>, conforme consta da tabela acima.</w:t>
      </w:r>
      <w:r w:rsidR="00283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E93" w:rsidRDefault="00AA1E93" w:rsidP="00283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comparado com o mesmo demonstrativo contábil para o exercício social de 2014, as Variações Patrimoniais Aumentativas decorrentes de receitas financeiras representaram um aumento na ordem de 47,2415%, em grande parte devido à conta de aplicação financeira em títulos de renda fixa, que no ano de 2014 foi responsável por receitas financeiras no total de R$ 79.653,02</w:t>
      </w:r>
      <w:r w:rsidR="00D46CC5">
        <w:rPr>
          <w:rFonts w:ascii="Times New Roman" w:hAnsi="Times New Roman" w:cs="Times New Roman"/>
          <w:sz w:val="24"/>
          <w:szCs w:val="24"/>
        </w:rPr>
        <w:t xml:space="preserve"> (Setenta e nove mil, seiscentos e cinquenta e três reais e dois centavos)</w:t>
      </w:r>
      <w:r>
        <w:rPr>
          <w:rFonts w:ascii="Times New Roman" w:hAnsi="Times New Roman" w:cs="Times New Roman"/>
          <w:sz w:val="24"/>
          <w:szCs w:val="24"/>
        </w:rPr>
        <w:t>, e em 2015 este valor “saltou” para R$ 115.025,73</w:t>
      </w:r>
      <w:r w:rsidR="00D46CC5">
        <w:rPr>
          <w:rFonts w:ascii="Times New Roman" w:hAnsi="Times New Roman" w:cs="Times New Roman"/>
          <w:sz w:val="24"/>
          <w:szCs w:val="24"/>
        </w:rPr>
        <w:t xml:space="preserve"> (Cento e quinze mil e vinte e cinco reais e setenta e três centavos)</w:t>
      </w:r>
      <w:r>
        <w:rPr>
          <w:rFonts w:ascii="Times New Roman" w:hAnsi="Times New Roman" w:cs="Times New Roman"/>
          <w:sz w:val="24"/>
          <w:szCs w:val="24"/>
        </w:rPr>
        <w:t>, um aumento de 44,4085%.</w:t>
      </w:r>
    </w:p>
    <w:p w:rsidR="003A4FF7" w:rsidRDefault="003A4FF7" w:rsidP="00283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o Balanço Patrimonial extraído para o período de 2015, compõe o valor de Caixa e Equivalentes de caixa os valores da conta Banc</w:t>
      </w:r>
      <w:r w:rsidR="000539B2">
        <w:rPr>
          <w:rFonts w:ascii="Times New Roman" w:hAnsi="Times New Roman" w:cs="Times New Roman"/>
          <w:sz w:val="24"/>
          <w:szCs w:val="24"/>
        </w:rPr>
        <w:t>o conta movimento R$ 34.206,89</w:t>
      </w:r>
      <w:r w:rsidR="00D46CC5">
        <w:rPr>
          <w:rFonts w:ascii="Times New Roman" w:hAnsi="Times New Roman" w:cs="Times New Roman"/>
          <w:sz w:val="24"/>
          <w:szCs w:val="24"/>
        </w:rPr>
        <w:t xml:space="preserve"> (Trinta e quatro mil, duzentos e seis reais e oitenta e nove centavos)</w:t>
      </w:r>
      <w:r w:rsidR="000539B2">
        <w:rPr>
          <w:rFonts w:ascii="Times New Roman" w:hAnsi="Times New Roman" w:cs="Times New Roman"/>
          <w:sz w:val="24"/>
          <w:szCs w:val="24"/>
        </w:rPr>
        <w:t>, e a conta de A</w:t>
      </w:r>
      <w:r>
        <w:rPr>
          <w:rFonts w:ascii="Times New Roman" w:hAnsi="Times New Roman" w:cs="Times New Roman"/>
          <w:sz w:val="24"/>
          <w:szCs w:val="24"/>
        </w:rPr>
        <w:t xml:space="preserve">plicação </w:t>
      </w:r>
      <w:r w:rsidR="000539B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inanceira em CDB/RDB títulos de renda fixa</w:t>
      </w:r>
      <w:r w:rsidR="000539B2">
        <w:rPr>
          <w:rFonts w:ascii="Times New Roman" w:hAnsi="Times New Roman" w:cs="Times New Roman"/>
          <w:sz w:val="24"/>
          <w:szCs w:val="24"/>
        </w:rPr>
        <w:t xml:space="preserve"> R$ 792.856,87</w:t>
      </w:r>
      <w:r w:rsidR="00D46CC5">
        <w:rPr>
          <w:rFonts w:ascii="Times New Roman" w:hAnsi="Times New Roman" w:cs="Times New Roman"/>
          <w:sz w:val="24"/>
          <w:szCs w:val="24"/>
        </w:rPr>
        <w:t xml:space="preserve"> (Setecentos e noventa e dois mil, oitocentos e cinquenta e seis reais e oitenta e sete centavos)</w:t>
      </w:r>
      <w:r w:rsidR="000539B2">
        <w:rPr>
          <w:rFonts w:ascii="Times New Roman" w:hAnsi="Times New Roman" w:cs="Times New Roman"/>
          <w:sz w:val="24"/>
          <w:szCs w:val="24"/>
        </w:rPr>
        <w:t xml:space="preserve">, perfazendo </w:t>
      </w:r>
      <w:proofErr w:type="gramStart"/>
      <w:r w:rsidR="00D46CC5">
        <w:rPr>
          <w:rFonts w:ascii="Times New Roman" w:hAnsi="Times New Roman" w:cs="Times New Roman"/>
          <w:sz w:val="24"/>
          <w:szCs w:val="24"/>
        </w:rPr>
        <w:t>ambas um total equivalente</w:t>
      </w:r>
      <w:proofErr w:type="gramEnd"/>
      <w:r w:rsidR="000539B2">
        <w:rPr>
          <w:rFonts w:ascii="Times New Roman" w:hAnsi="Times New Roman" w:cs="Times New Roman"/>
          <w:sz w:val="24"/>
          <w:szCs w:val="24"/>
        </w:rPr>
        <w:t xml:space="preserve"> a R$ 827.063,76</w:t>
      </w:r>
      <w:r w:rsidR="00D46CC5">
        <w:rPr>
          <w:rFonts w:ascii="Times New Roman" w:hAnsi="Times New Roman" w:cs="Times New Roman"/>
          <w:sz w:val="24"/>
          <w:szCs w:val="24"/>
        </w:rPr>
        <w:t xml:space="preserve"> (Oitocentos e vinte e sete mil, e sessenta e três reais e setenta e seis centavos)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FF7" w:rsidRDefault="003A4FF7" w:rsidP="00283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 ressaltar que quanto às receitas realizadas constantes do Balanço Orçamentário e dispostas de maneira agrupada no demonstrativo das Variações Patrimoniais Quantitativas, os valores foram contabilizados segundo diretrizes contábeis e gerenciais do CAU/BR e em pleno acordo com as Normas Brasileiras de Contabilidade Aplicadas ao Setor Público.    </w:t>
      </w:r>
    </w:p>
    <w:p w:rsidR="000539B2" w:rsidRDefault="000539B2" w:rsidP="000539B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TABELA 4. VARIAÇÕES PATRIMONIAIS AUMENTATIVAS – OUTRAS VARIAÇÕES PATRIMONIAIS AUMENTATIVAS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851"/>
        <w:gridCol w:w="850"/>
      </w:tblGrid>
      <w:tr w:rsidR="000539B2" w:rsidTr="002E4235">
        <w:trPr>
          <w:trHeight w:val="180"/>
        </w:trPr>
        <w:tc>
          <w:tcPr>
            <w:tcW w:w="8505" w:type="dxa"/>
            <w:gridSpan w:val="3"/>
          </w:tcPr>
          <w:p w:rsidR="000539B2" w:rsidRPr="006845DE" w:rsidRDefault="000539B2" w:rsidP="002E423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DE">
              <w:rPr>
                <w:rFonts w:ascii="Times New Roman" w:hAnsi="Times New Roman" w:cs="Times New Roman"/>
                <w:b/>
                <w:sz w:val="24"/>
                <w:szCs w:val="24"/>
              </w:rPr>
              <w:t>VARIAÇÃO PATRIMONIAL AUMENTATIVA</w:t>
            </w:r>
          </w:p>
        </w:tc>
      </w:tr>
      <w:tr w:rsidR="000539B2" w:rsidTr="0065503D">
        <w:trPr>
          <w:trHeight w:val="180"/>
        </w:trPr>
        <w:tc>
          <w:tcPr>
            <w:tcW w:w="6804" w:type="dxa"/>
          </w:tcPr>
          <w:p w:rsidR="000539B2" w:rsidRPr="006845DE" w:rsidRDefault="000539B2" w:rsidP="002E423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NATUREZA</w:t>
            </w:r>
          </w:p>
        </w:tc>
        <w:tc>
          <w:tcPr>
            <w:tcW w:w="851" w:type="dxa"/>
          </w:tcPr>
          <w:p w:rsidR="000539B2" w:rsidRPr="006845DE" w:rsidRDefault="000539B2" w:rsidP="002E423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850" w:type="dxa"/>
          </w:tcPr>
          <w:p w:rsidR="000539B2" w:rsidRPr="006845DE" w:rsidRDefault="000539B2" w:rsidP="002E423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0539B2" w:rsidTr="0065503D">
        <w:trPr>
          <w:trHeight w:val="180"/>
        </w:trPr>
        <w:tc>
          <w:tcPr>
            <w:tcW w:w="6804" w:type="dxa"/>
          </w:tcPr>
          <w:p w:rsidR="000539B2" w:rsidRPr="006845DE" w:rsidRDefault="000539B2" w:rsidP="002E4235">
            <w:pPr>
              <w:pStyle w:val="SemEspaamen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</w:t>
            </w:r>
            <w:r w:rsidR="0065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5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OUTRAS VARIAÇÕES PATRIMONIAIS AUMENTATIVAS</w:t>
            </w:r>
          </w:p>
        </w:tc>
        <w:tc>
          <w:tcPr>
            <w:tcW w:w="851" w:type="dxa"/>
          </w:tcPr>
          <w:p w:rsidR="000539B2" w:rsidRPr="006845DE" w:rsidRDefault="000539B2" w:rsidP="002E4235">
            <w:pPr>
              <w:pStyle w:val="SemEspaamen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9B2" w:rsidRPr="006845DE" w:rsidRDefault="0065503D" w:rsidP="002E4235">
            <w:pPr>
              <w:pStyle w:val="SemEspaamen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862,25</w:t>
            </w:r>
          </w:p>
        </w:tc>
      </w:tr>
      <w:tr w:rsidR="0065503D" w:rsidTr="0065503D">
        <w:trPr>
          <w:trHeight w:val="180"/>
        </w:trPr>
        <w:tc>
          <w:tcPr>
            <w:tcW w:w="6804" w:type="dxa"/>
          </w:tcPr>
          <w:p w:rsidR="000539B2" w:rsidRPr="006845DE" w:rsidRDefault="0065503D" w:rsidP="0065503D">
            <w:pPr>
              <w:pStyle w:val="SemEspaament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Variação Patrimonial Aumentativa a classificar</w:t>
            </w:r>
          </w:p>
        </w:tc>
        <w:tc>
          <w:tcPr>
            <w:tcW w:w="851" w:type="dxa"/>
          </w:tcPr>
          <w:p w:rsidR="000539B2" w:rsidRPr="006845DE" w:rsidRDefault="000539B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9B2" w:rsidRPr="006845DE" w:rsidRDefault="000539B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03D" w:rsidTr="0065503D">
        <w:trPr>
          <w:trHeight w:val="180"/>
        </w:trPr>
        <w:tc>
          <w:tcPr>
            <w:tcW w:w="6804" w:type="dxa"/>
          </w:tcPr>
          <w:p w:rsidR="000539B2" w:rsidRPr="006845DE" w:rsidRDefault="0065503D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Receitas não identificadas</w:t>
            </w:r>
            <w:proofErr w:type="gramEnd"/>
          </w:p>
        </w:tc>
        <w:tc>
          <w:tcPr>
            <w:tcW w:w="851" w:type="dxa"/>
          </w:tcPr>
          <w:p w:rsidR="000539B2" w:rsidRPr="006845DE" w:rsidRDefault="0065503D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510,74</w:t>
            </w:r>
          </w:p>
        </w:tc>
        <w:tc>
          <w:tcPr>
            <w:tcW w:w="850" w:type="dxa"/>
          </w:tcPr>
          <w:p w:rsidR="000539B2" w:rsidRPr="006845DE" w:rsidRDefault="000539B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03D" w:rsidTr="0065503D">
        <w:trPr>
          <w:trHeight w:val="180"/>
        </w:trPr>
        <w:tc>
          <w:tcPr>
            <w:tcW w:w="6804" w:type="dxa"/>
          </w:tcPr>
          <w:p w:rsidR="000539B2" w:rsidRPr="006845DE" w:rsidRDefault="0065503D" w:rsidP="0065503D">
            <w:pPr>
              <w:pStyle w:val="SemEspaament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Diversas Variações Patrimoniais Aumentativas</w:t>
            </w:r>
          </w:p>
        </w:tc>
        <w:tc>
          <w:tcPr>
            <w:tcW w:w="851" w:type="dxa"/>
          </w:tcPr>
          <w:p w:rsidR="000539B2" w:rsidRPr="006845DE" w:rsidRDefault="000539B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9B2" w:rsidRPr="006845DE" w:rsidRDefault="000539B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03D" w:rsidTr="0065503D">
        <w:trPr>
          <w:trHeight w:val="180"/>
        </w:trPr>
        <w:tc>
          <w:tcPr>
            <w:tcW w:w="6804" w:type="dxa"/>
          </w:tcPr>
          <w:p w:rsidR="000539B2" w:rsidRDefault="0065503D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Multas Administrativas</w:t>
            </w:r>
          </w:p>
        </w:tc>
        <w:tc>
          <w:tcPr>
            <w:tcW w:w="851" w:type="dxa"/>
          </w:tcPr>
          <w:p w:rsidR="000539B2" w:rsidRDefault="0065503D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351,51</w:t>
            </w:r>
          </w:p>
        </w:tc>
        <w:tc>
          <w:tcPr>
            <w:tcW w:w="850" w:type="dxa"/>
          </w:tcPr>
          <w:p w:rsidR="000539B2" w:rsidRDefault="000539B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B2" w:rsidTr="0065503D">
        <w:trPr>
          <w:trHeight w:val="180"/>
        </w:trPr>
        <w:tc>
          <w:tcPr>
            <w:tcW w:w="6804" w:type="dxa"/>
          </w:tcPr>
          <w:p w:rsidR="000539B2" w:rsidRPr="00EF3753" w:rsidRDefault="000539B2" w:rsidP="002E423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53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851" w:type="dxa"/>
          </w:tcPr>
          <w:p w:rsidR="000539B2" w:rsidRDefault="0065503D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862,25</w:t>
            </w:r>
          </w:p>
        </w:tc>
        <w:tc>
          <w:tcPr>
            <w:tcW w:w="850" w:type="dxa"/>
          </w:tcPr>
          <w:p w:rsidR="000539B2" w:rsidRDefault="000539B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9B2" w:rsidRDefault="000539B2" w:rsidP="000539B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503D" w:rsidRDefault="0065503D" w:rsidP="00283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a Receitas com Outras Variações Patrimoniais Aumentativas, a contabilidade reconheceu como receita no exercício social de 2015, apenas dois valores dispostos acima. </w:t>
      </w:r>
    </w:p>
    <w:p w:rsidR="0065503D" w:rsidRDefault="0065503D" w:rsidP="00283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receitas não identificadas foram reconhecidas o valor de R$ 510,74</w:t>
      </w:r>
      <w:r w:rsidR="00D46CC5">
        <w:rPr>
          <w:rFonts w:ascii="Times New Roman" w:hAnsi="Times New Roman" w:cs="Times New Roman"/>
          <w:sz w:val="24"/>
          <w:szCs w:val="24"/>
        </w:rPr>
        <w:t xml:space="preserve"> (Quinhentos e dez reais e setenta e quatro centavos),</w:t>
      </w:r>
      <w:r>
        <w:rPr>
          <w:rFonts w:ascii="Times New Roman" w:hAnsi="Times New Roman" w:cs="Times New Roman"/>
          <w:sz w:val="24"/>
          <w:szCs w:val="24"/>
        </w:rPr>
        <w:t xml:space="preserve"> que representa depósitos ou </w:t>
      </w:r>
      <w:r>
        <w:rPr>
          <w:rFonts w:ascii="Times New Roman" w:hAnsi="Times New Roman" w:cs="Times New Roman"/>
          <w:sz w:val="24"/>
          <w:szCs w:val="24"/>
        </w:rPr>
        <w:lastRenderedPageBreak/>
        <w:t>transferências na conta corrente do Conselho de Arquitetura e Urbanismo de Mato Grosso do Sul, e que não há uma contrapartida legal para este valor rea</w:t>
      </w:r>
      <w:r w:rsidR="00D46CC5">
        <w:rPr>
          <w:rFonts w:ascii="Times New Roman" w:hAnsi="Times New Roman" w:cs="Times New Roman"/>
          <w:sz w:val="24"/>
          <w:szCs w:val="24"/>
        </w:rPr>
        <w:t xml:space="preserve">lizado. Em outros termos, </w:t>
      </w:r>
      <w:r>
        <w:rPr>
          <w:rFonts w:ascii="Times New Roman" w:hAnsi="Times New Roman" w:cs="Times New Roman"/>
          <w:sz w:val="24"/>
          <w:szCs w:val="24"/>
        </w:rPr>
        <w:t>este valor</w:t>
      </w:r>
      <w:r w:rsidR="00D46CC5">
        <w:rPr>
          <w:rFonts w:ascii="Times New Roman" w:hAnsi="Times New Roman" w:cs="Times New Roman"/>
          <w:sz w:val="24"/>
          <w:szCs w:val="24"/>
        </w:rPr>
        <w:t xml:space="preserve"> não é</w:t>
      </w:r>
      <w:r>
        <w:rPr>
          <w:rFonts w:ascii="Times New Roman" w:hAnsi="Times New Roman" w:cs="Times New Roman"/>
          <w:sz w:val="24"/>
          <w:szCs w:val="24"/>
        </w:rPr>
        <w:t xml:space="preserve"> representativo de receitas com anuidades, com taxas administrativas, </w:t>
      </w:r>
      <w:proofErr w:type="gramStart"/>
      <w:r>
        <w:rPr>
          <w:rFonts w:ascii="Times New Roman" w:hAnsi="Times New Roman" w:cs="Times New Roman"/>
          <w:sz w:val="24"/>
          <w:szCs w:val="24"/>
        </w:rPr>
        <w:t>multas, moras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sobre anuidades, registros de responsabilidade técnica ou qualquer receita com emolumentos não disciplinados como exemplos anteriores. Na verdade, por não saber identificar tal valor a contabilidade acaba por reconhecer em receitas não identificadas.</w:t>
      </w:r>
    </w:p>
    <w:p w:rsidR="007A3C7B" w:rsidRDefault="007A3C7B" w:rsidP="00283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Receitas com Multas Administrativas representou um total de R$ 351,51</w:t>
      </w:r>
      <w:r w:rsidR="00D46CC5">
        <w:rPr>
          <w:rFonts w:ascii="Times New Roman" w:hAnsi="Times New Roman" w:cs="Times New Roman"/>
          <w:sz w:val="24"/>
          <w:szCs w:val="24"/>
        </w:rPr>
        <w:t xml:space="preserve"> (trezentos e cinquenta e reais e cinquenta e um centavos)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1B5" w:rsidRDefault="007A3C7B" w:rsidP="00283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 mencionar que, em comparação com o mesmo demonstrativo contábil de Variações Patrimoniais Quantitativas</w:t>
      </w:r>
      <w:r w:rsidR="00AE41B5">
        <w:rPr>
          <w:rFonts w:ascii="Times New Roman" w:hAnsi="Times New Roman" w:cs="Times New Roman"/>
          <w:sz w:val="24"/>
          <w:szCs w:val="24"/>
        </w:rPr>
        <w:t xml:space="preserve"> de 2014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41B5">
        <w:rPr>
          <w:rFonts w:ascii="Times New Roman" w:hAnsi="Times New Roman" w:cs="Times New Roman"/>
          <w:sz w:val="24"/>
          <w:szCs w:val="24"/>
        </w:rPr>
        <w:t xml:space="preserve"> Outras Variações Patrimoniais Aumentativas tiveram uma expressiva queda. Para o ano calendário de 2014, o valor constante do demonstrativo em questão foi de R$ 26.322,60</w:t>
      </w:r>
      <w:r w:rsidR="00D46CC5">
        <w:rPr>
          <w:rFonts w:ascii="Times New Roman" w:hAnsi="Times New Roman" w:cs="Times New Roman"/>
          <w:sz w:val="24"/>
          <w:szCs w:val="24"/>
        </w:rPr>
        <w:t xml:space="preserve"> (Vinte e seis mil, trezentos e vinte e dois reais e sessenta centavos)</w:t>
      </w:r>
      <w:r w:rsidR="00AE41B5">
        <w:rPr>
          <w:rFonts w:ascii="Times New Roman" w:hAnsi="Times New Roman" w:cs="Times New Roman"/>
          <w:sz w:val="24"/>
          <w:szCs w:val="24"/>
        </w:rPr>
        <w:t>, já para 2015 o valor foi de R$ 862,25</w:t>
      </w:r>
      <w:r w:rsidR="00D46CC5">
        <w:rPr>
          <w:rFonts w:ascii="Times New Roman" w:hAnsi="Times New Roman" w:cs="Times New Roman"/>
          <w:sz w:val="24"/>
          <w:szCs w:val="24"/>
        </w:rPr>
        <w:t xml:space="preserve"> (oitocentos e sessenta e dois reais e vinte e cinco centavos)</w:t>
      </w:r>
      <w:r w:rsidR="00AE41B5">
        <w:rPr>
          <w:rFonts w:ascii="Times New Roman" w:hAnsi="Times New Roman" w:cs="Times New Roman"/>
          <w:sz w:val="24"/>
          <w:szCs w:val="24"/>
        </w:rPr>
        <w:t>, uma queda de 96,7243%.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B5" w:rsidRDefault="00AE41B5" w:rsidP="00283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motivo para esta queda significativa existe. A contabilidade passou a adotar o mesmo pensamento de contabilização do CAU/BR para as receitas com emolumentos com registro de responsabilidade técnica – RRT, bem como para receitas com emolumentos com expedições de certidões, direitos autorias, multas infrações e documentos de fiscalização. Antes, em 2014 todas estas receitas eram reconhecidas como outras receitas, ou como receitas não identificadas. Isso não mais se oper</w:t>
      </w:r>
      <w:r w:rsidR="00564982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em 2015.</w:t>
      </w:r>
    </w:p>
    <w:p w:rsidR="00760EB2" w:rsidRDefault="0065503D" w:rsidP="00760E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0EB2">
        <w:rPr>
          <w:rFonts w:ascii="Times New Roman" w:hAnsi="Times New Roman" w:cs="Times New Roman"/>
          <w:sz w:val="24"/>
          <w:szCs w:val="24"/>
        </w:rPr>
        <w:t xml:space="preserve">Cabe ressaltar que quanto às receitas realizadas constantes do Balanço Orçamentário e dispostas de maneira agrupada no demonstrativo das Variações Patrimoniais Quantitativas, os valores foram contabilizados segundo diretrizes contábeis e gerenciais do CAU/BR e em pleno acordo com as Normas Brasileiras de Contabilidade Aplicadas ao Setor Público.    </w:t>
      </w:r>
    </w:p>
    <w:p w:rsidR="00564982" w:rsidRDefault="00564982" w:rsidP="00760E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982" w:rsidRDefault="00564982" w:rsidP="005649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– TABELA 5. VARIAÇÃO PATRIMONIAL DIMINUTIVA – PESSOAL E ENCARGOS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1417"/>
      </w:tblGrid>
      <w:tr w:rsidR="00564982" w:rsidTr="002E4235">
        <w:trPr>
          <w:trHeight w:val="180"/>
        </w:trPr>
        <w:tc>
          <w:tcPr>
            <w:tcW w:w="8505" w:type="dxa"/>
            <w:gridSpan w:val="3"/>
          </w:tcPr>
          <w:p w:rsidR="00564982" w:rsidRPr="006845DE" w:rsidRDefault="00564982" w:rsidP="002E423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VARIAÇÃO PATRIMONIAL DIMINUTIVA</w:t>
            </w:r>
          </w:p>
        </w:tc>
      </w:tr>
      <w:tr w:rsidR="00564982" w:rsidTr="00626578">
        <w:trPr>
          <w:trHeight w:val="180"/>
        </w:trPr>
        <w:tc>
          <w:tcPr>
            <w:tcW w:w="5670" w:type="dxa"/>
          </w:tcPr>
          <w:p w:rsidR="00564982" w:rsidRPr="006845DE" w:rsidRDefault="00564982" w:rsidP="002E423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NATUREZA</w:t>
            </w:r>
          </w:p>
        </w:tc>
        <w:tc>
          <w:tcPr>
            <w:tcW w:w="1418" w:type="dxa"/>
          </w:tcPr>
          <w:p w:rsidR="00564982" w:rsidRPr="006845DE" w:rsidRDefault="00564982" w:rsidP="002E423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417" w:type="dxa"/>
          </w:tcPr>
          <w:p w:rsidR="00564982" w:rsidRPr="006845DE" w:rsidRDefault="00564982" w:rsidP="002E423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564982" w:rsidTr="00626578">
        <w:trPr>
          <w:trHeight w:val="180"/>
        </w:trPr>
        <w:tc>
          <w:tcPr>
            <w:tcW w:w="5670" w:type="dxa"/>
          </w:tcPr>
          <w:p w:rsidR="00564982" w:rsidRPr="006845DE" w:rsidRDefault="00564982" w:rsidP="002E4235">
            <w:pPr>
              <w:pStyle w:val="SemEspaamen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– PESSOAL E ENCARGOS</w:t>
            </w:r>
          </w:p>
        </w:tc>
        <w:tc>
          <w:tcPr>
            <w:tcW w:w="1418" w:type="dxa"/>
          </w:tcPr>
          <w:p w:rsidR="00564982" w:rsidRPr="006845DE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982" w:rsidRPr="00626578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1.231.489,86</w:t>
            </w:r>
          </w:p>
        </w:tc>
      </w:tr>
      <w:tr w:rsidR="00564982" w:rsidTr="00626578">
        <w:trPr>
          <w:trHeight w:val="180"/>
        </w:trPr>
        <w:tc>
          <w:tcPr>
            <w:tcW w:w="5670" w:type="dxa"/>
          </w:tcPr>
          <w:p w:rsidR="00564982" w:rsidRPr="006845DE" w:rsidRDefault="00564982" w:rsidP="00564982">
            <w:pPr>
              <w:pStyle w:val="SemEspaament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Pessoal e Encargos</w:t>
            </w:r>
          </w:p>
        </w:tc>
        <w:tc>
          <w:tcPr>
            <w:tcW w:w="1418" w:type="dxa"/>
          </w:tcPr>
          <w:p w:rsidR="00564982" w:rsidRPr="006845DE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982" w:rsidRPr="006845DE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82" w:rsidTr="00626578">
        <w:trPr>
          <w:trHeight w:val="180"/>
        </w:trPr>
        <w:tc>
          <w:tcPr>
            <w:tcW w:w="5670" w:type="dxa"/>
          </w:tcPr>
          <w:p w:rsidR="00564982" w:rsidRPr="006845DE" w:rsidRDefault="00564982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 Remuneração Pessoal</w:t>
            </w:r>
          </w:p>
        </w:tc>
        <w:tc>
          <w:tcPr>
            <w:tcW w:w="1418" w:type="dxa"/>
          </w:tcPr>
          <w:p w:rsidR="00564982" w:rsidRPr="006845DE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982" w:rsidRPr="006845DE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82" w:rsidTr="00626578">
        <w:trPr>
          <w:trHeight w:val="180"/>
        </w:trPr>
        <w:tc>
          <w:tcPr>
            <w:tcW w:w="5670" w:type="dxa"/>
          </w:tcPr>
          <w:p w:rsidR="00564982" w:rsidRPr="006845DE" w:rsidRDefault="00564982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1.1) Salários</w:t>
            </w:r>
          </w:p>
        </w:tc>
        <w:tc>
          <w:tcPr>
            <w:tcW w:w="1418" w:type="dxa"/>
          </w:tcPr>
          <w:p w:rsidR="00564982" w:rsidRPr="006845DE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704.509,78</w:t>
            </w:r>
          </w:p>
        </w:tc>
        <w:tc>
          <w:tcPr>
            <w:tcW w:w="1417" w:type="dxa"/>
          </w:tcPr>
          <w:p w:rsidR="00564982" w:rsidRPr="006845DE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82" w:rsidTr="00626578">
        <w:trPr>
          <w:trHeight w:val="180"/>
        </w:trPr>
        <w:tc>
          <w:tcPr>
            <w:tcW w:w="5670" w:type="dxa"/>
          </w:tcPr>
          <w:p w:rsidR="00564982" w:rsidRDefault="00564982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1.2) Gratificação de Função</w:t>
            </w:r>
          </w:p>
        </w:tc>
        <w:tc>
          <w:tcPr>
            <w:tcW w:w="1418" w:type="dxa"/>
          </w:tcPr>
          <w:p w:rsidR="00564982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73.619,75</w:t>
            </w:r>
          </w:p>
        </w:tc>
        <w:tc>
          <w:tcPr>
            <w:tcW w:w="1417" w:type="dxa"/>
          </w:tcPr>
          <w:p w:rsidR="00564982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82" w:rsidTr="00626578">
        <w:trPr>
          <w:trHeight w:val="180"/>
        </w:trPr>
        <w:tc>
          <w:tcPr>
            <w:tcW w:w="5670" w:type="dxa"/>
          </w:tcPr>
          <w:p w:rsidR="00564982" w:rsidRDefault="00564982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1.3) Gratificação de Natal - 13º salário</w:t>
            </w:r>
          </w:p>
        </w:tc>
        <w:tc>
          <w:tcPr>
            <w:tcW w:w="1418" w:type="dxa"/>
          </w:tcPr>
          <w:p w:rsidR="00564982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69.356,39</w:t>
            </w:r>
          </w:p>
        </w:tc>
        <w:tc>
          <w:tcPr>
            <w:tcW w:w="1417" w:type="dxa"/>
          </w:tcPr>
          <w:p w:rsidR="00564982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82" w:rsidTr="00626578">
        <w:trPr>
          <w:trHeight w:val="180"/>
        </w:trPr>
        <w:tc>
          <w:tcPr>
            <w:tcW w:w="5670" w:type="dxa"/>
          </w:tcPr>
          <w:p w:rsidR="00564982" w:rsidRDefault="00564982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1.4) Férias</w:t>
            </w:r>
          </w:p>
        </w:tc>
        <w:tc>
          <w:tcPr>
            <w:tcW w:w="1418" w:type="dxa"/>
          </w:tcPr>
          <w:p w:rsidR="00564982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55.216,91</w:t>
            </w:r>
          </w:p>
        </w:tc>
        <w:tc>
          <w:tcPr>
            <w:tcW w:w="1417" w:type="dxa"/>
          </w:tcPr>
          <w:p w:rsidR="00564982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82" w:rsidTr="00626578">
        <w:trPr>
          <w:trHeight w:val="180"/>
        </w:trPr>
        <w:tc>
          <w:tcPr>
            <w:tcW w:w="5670" w:type="dxa"/>
          </w:tcPr>
          <w:p w:rsidR="00564982" w:rsidRDefault="00564982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1.5) 1/3 de férias – CF/88</w:t>
            </w:r>
          </w:p>
        </w:tc>
        <w:tc>
          <w:tcPr>
            <w:tcW w:w="1418" w:type="dxa"/>
          </w:tcPr>
          <w:p w:rsidR="00564982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20.092,06</w:t>
            </w:r>
          </w:p>
        </w:tc>
        <w:tc>
          <w:tcPr>
            <w:tcW w:w="1417" w:type="dxa"/>
          </w:tcPr>
          <w:p w:rsidR="00564982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82" w:rsidTr="00626578">
        <w:trPr>
          <w:trHeight w:val="180"/>
        </w:trPr>
        <w:tc>
          <w:tcPr>
            <w:tcW w:w="5670" w:type="dxa"/>
          </w:tcPr>
          <w:p w:rsidR="00564982" w:rsidRDefault="00564982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1.6) Abono de Férias</w:t>
            </w:r>
          </w:p>
        </w:tc>
        <w:tc>
          <w:tcPr>
            <w:tcW w:w="1418" w:type="dxa"/>
          </w:tcPr>
          <w:p w:rsidR="00564982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5.327,73</w:t>
            </w:r>
          </w:p>
        </w:tc>
        <w:tc>
          <w:tcPr>
            <w:tcW w:w="1417" w:type="dxa"/>
          </w:tcPr>
          <w:p w:rsidR="00564982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82" w:rsidTr="00626578">
        <w:trPr>
          <w:trHeight w:val="180"/>
        </w:trPr>
        <w:tc>
          <w:tcPr>
            <w:tcW w:w="5670" w:type="dxa"/>
          </w:tcPr>
          <w:p w:rsidR="00564982" w:rsidRDefault="005C45DF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1.7) Horas Extras</w:t>
            </w:r>
          </w:p>
        </w:tc>
        <w:tc>
          <w:tcPr>
            <w:tcW w:w="1418" w:type="dxa"/>
          </w:tcPr>
          <w:p w:rsidR="00564982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13.336,02</w:t>
            </w:r>
          </w:p>
        </w:tc>
        <w:tc>
          <w:tcPr>
            <w:tcW w:w="1417" w:type="dxa"/>
          </w:tcPr>
          <w:p w:rsidR="00564982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F" w:rsidTr="00626578">
        <w:trPr>
          <w:trHeight w:val="180"/>
        </w:trPr>
        <w:tc>
          <w:tcPr>
            <w:tcW w:w="5670" w:type="dxa"/>
          </w:tcPr>
          <w:p w:rsidR="005C45DF" w:rsidRDefault="005C45DF" w:rsidP="005C45D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3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  <w:r w:rsidR="00A6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Pessoal e encargos</w:t>
            </w:r>
          </w:p>
        </w:tc>
        <w:tc>
          <w:tcPr>
            <w:tcW w:w="1418" w:type="dxa"/>
          </w:tcPr>
          <w:p w:rsidR="005C45DF" w:rsidRDefault="00A676E6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941.458,64</w:t>
            </w:r>
          </w:p>
        </w:tc>
        <w:tc>
          <w:tcPr>
            <w:tcW w:w="1417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82" w:rsidTr="00626578">
        <w:trPr>
          <w:trHeight w:val="180"/>
        </w:trPr>
        <w:tc>
          <w:tcPr>
            <w:tcW w:w="5670" w:type="dxa"/>
          </w:tcPr>
          <w:p w:rsidR="00564982" w:rsidRDefault="005C45DF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 Encargos Sociais</w:t>
            </w:r>
          </w:p>
        </w:tc>
        <w:tc>
          <w:tcPr>
            <w:tcW w:w="1418" w:type="dxa"/>
          </w:tcPr>
          <w:p w:rsidR="00564982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982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F" w:rsidTr="00626578">
        <w:trPr>
          <w:trHeight w:val="180"/>
        </w:trPr>
        <w:tc>
          <w:tcPr>
            <w:tcW w:w="5670" w:type="dxa"/>
          </w:tcPr>
          <w:p w:rsidR="005C45DF" w:rsidRDefault="005C45DF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2.1) INSS Patronal</w:t>
            </w:r>
          </w:p>
        </w:tc>
        <w:tc>
          <w:tcPr>
            <w:tcW w:w="1418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196.827,68</w:t>
            </w:r>
          </w:p>
        </w:tc>
        <w:tc>
          <w:tcPr>
            <w:tcW w:w="1417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F" w:rsidTr="00626578">
        <w:trPr>
          <w:trHeight w:val="180"/>
        </w:trPr>
        <w:tc>
          <w:tcPr>
            <w:tcW w:w="5670" w:type="dxa"/>
          </w:tcPr>
          <w:p w:rsidR="005C45DF" w:rsidRDefault="005C45DF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2.2) FGTS</w:t>
            </w:r>
          </w:p>
        </w:tc>
        <w:tc>
          <w:tcPr>
            <w:tcW w:w="1418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81.161,31</w:t>
            </w:r>
          </w:p>
        </w:tc>
        <w:tc>
          <w:tcPr>
            <w:tcW w:w="1417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F" w:rsidTr="00626578">
        <w:trPr>
          <w:trHeight w:val="180"/>
        </w:trPr>
        <w:tc>
          <w:tcPr>
            <w:tcW w:w="5670" w:type="dxa"/>
          </w:tcPr>
          <w:p w:rsidR="005C45DF" w:rsidRDefault="005C45DF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2.3) PIS s/ folha de Pagamento</w:t>
            </w:r>
          </w:p>
        </w:tc>
        <w:tc>
          <w:tcPr>
            <w:tcW w:w="1418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9.292,41</w:t>
            </w:r>
          </w:p>
        </w:tc>
        <w:tc>
          <w:tcPr>
            <w:tcW w:w="1417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E6" w:rsidTr="00626578">
        <w:trPr>
          <w:trHeight w:val="180"/>
        </w:trPr>
        <w:tc>
          <w:tcPr>
            <w:tcW w:w="5670" w:type="dxa"/>
          </w:tcPr>
          <w:p w:rsidR="00A676E6" w:rsidRDefault="00A676E6" w:rsidP="00A676E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3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Encargos sociais</w:t>
            </w:r>
          </w:p>
        </w:tc>
        <w:tc>
          <w:tcPr>
            <w:tcW w:w="1418" w:type="dxa"/>
          </w:tcPr>
          <w:p w:rsidR="00A676E6" w:rsidRDefault="00A676E6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287.281,40</w:t>
            </w:r>
          </w:p>
        </w:tc>
        <w:tc>
          <w:tcPr>
            <w:tcW w:w="1417" w:type="dxa"/>
          </w:tcPr>
          <w:p w:rsidR="00A676E6" w:rsidRDefault="00A676E6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F" w:rsidTr="00626578">
        <w:trPr>
          <w:trHeight w:val="180"/>
        </w:trPr>
        <w:tc>
          <w:tcPr>
            <w:tcW w:w="5670" w:type="dxa"/>
          </w:tcPr>
          <w:p w:rsidR="005C45DF" w:rsidRDefault="005C45DF" w:rsidP="005C45DF">
            <w:pPr>
              <w:pStyle w:val="SemEspaament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Benefícios a Pessoal</w:t>
            </w:r>
          </w:p>
        </w:tc>
        <w:tc>
          <w:tcPr>
            <w:tcW w:w="1418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F" w:rsidTr="00626578">
        <w:trPr>
          <w:trHeight w:val="180"/>
        </w:trPr>
        <w:tc>
          <w:tcPr>
            <w:tcW w:w="5670" w:type="dxa"/>
          </w:tcPr>
          <w:p w:rsidR="005C45DF" w:rsidRDefault="005C45DF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 Benefícios a Pessoal</w:t>
            </w:r>
          </w:p>
        </w:tc>
        <w:tc>
          <w:tcPr>
            <w:tcW w:w="1418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82" w:rsidTr="00626578">
        <w:trPr>
          <w:trHeight w:val="180"/>
        </w:trPr>
        <w:tc>
          <w:tcPr>
            <w:tcW w:w="5670" w:type="dxa"/>
          </w:tcPr>
          <w:p w:rsidR="00564982" w:rsidRDefault="005C45DF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1.1) Vale Transporte</w:t>
            </w:r>
          </w:p>
        </w:tc>
        <w:tc>
          <w:tcPr>
            <w:tcW w:w="1418" w:type="dxa"/>
          </w:tcPr>
          <w:p w:rsidR="00564982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1.635,32</w:t>
            </w:r>
          </w:p>
        </w:tc>
        <w:tc>
          <w:tcPr>
            <w:tcW w:w="1417" w:type="dxa"/>
          </w:tcPr>
          <w:p w:rsidR="00564982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78" w:rsidTr="00626578">
        <w:trPr>
          <w:trHeight w:val="180"/>
        </w:trPr>
        <w:tc>
          <w:tcPr>
            <w:tcW w:w="5670" w:type="dxa"/>
          </w:tcPr>
          <w:p w:rsidR="00626578" w:rsidRPr="005C45DF" w:rsidRDefault="00626578" w:rsidP="0062657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3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Benefícios a pessoal</w:t>
            </w:r>
          </w:p>
        </w:tc>
        <w:tc>
          <w:tcPr>
            <w:tcW w:w="1418" w:type="dxa"/>
          </w:tcPr>
          <w:p w:rsidR="00626578" w:rsidRDefault="00626578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1.635,32</w:t>
            </w:r>
          </w:p>
        </w:tc>
        <w:tc>
          <w:tcPr>
            <w:tcW w:w="1417" w:type="dxa"/>
          </w:tcPr>
          <w:p w:rsidR="00626578" w:rsidRDefault="00626578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F" w:rsidTr="00626578">
        <w:trPr>
          <w:trHeight w:val="180"/>
        </w:trPr>
        <w:tc>
          <w:tcPr>
            <w:tcW w:w="5670" w:type="dxa"/>
          </w:tcPr>
          <w:p w:rsidR="005C45DF" w:rsidRPr="005C45DF" w:rsidRDefault="005C45DF" w:rsidP="005C45DF">
            <w:pPr>
              <w:pStyle w:val="SemEspaament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DF">
              <w:rPr>
                <w:rFonts w:ascii="Times New Roman" w:hAnsi="Times New Roman" w:cs="Times New Roman"/>
                <w:sz w:val="24"/>
                <w:szCs w:val="24"/>
              </w:rPr>
              <w:t xml:space="preserve">Outros valores </w:t>
            </w:r>
          </w:p>
        </w:tc>
        <w:tc>
          <w:tcPr>
            <w:tcW w:w="1418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F" w:rsidTr="00626578">
        <w:trPr>
          <w:trHeight w:val="180"/>
        </w:trPr>
        <w:tc>
          <w:tcPr>
            <w:tcW w:w="5670" w:type="dxa"/>
          </w:tcPr>
          <w:p w:rsidR="005C45DF" w:rsidRPr="005C45DF" w:rsidRDefault="005C45DF" w:rsidP="005C45D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5C45D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proofErr w:type="gramEnd"/>
            <w:r w:rsidRPr="005C45DF">
              <w:rPr>
                <w:rFonts w:ascii="Times New Roman" w:hAnsi="Times New Roman" w:cs="Times New Roman"/>
                <w:sz w:val="24"/>
                <w:szCs w:val="24"/>
              </w:rPr>
              <w:t>1) Valores não identificados</w:t>
            </w:r>
          </w:p>
        </w:tc>
        <w:tc>
          <w:tcPr>
            <w:tcW w:w="1418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F" w:rsidTr="00626578">
        <w:trPr>
          <w:trHeight w:val="180"/>
        </w:trPr>
        <w:tc>
          <w:tcPr>
            <w:tcW w:w="5670" w:type="dxa"/>
          </w:tcPr>
          <w:p w:rsidR="005C45DF" w:rsidRPr="005C45DF" w:rsidRDefault="005C45DF" w:rsidP="005C45D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Pr="005C45D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proofErr w:type="gramEnd"/>
            <w:r w:rsidRPr="005C45DF">
              <w:rPr>
                <w:rFonts w:ascii="Times New Roman" w:hAnsi="Times New Roman" w:cs="Times New Roman"/>
                <w:sz w:val="24"/>
                <w:szCs w:val="24"/>
              </w:rPr>
              <w:t>1.1) Valores não identificados</w:t>
            </w:r>
          </w:p>
        </w:tc>
        <w:tc>
          <w:tcPr>
            <w:tcW w:w="1418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1.114,50</w:t>
            </w:r>
          </w:p>
        </w:tc>
        <w:tc>
          <w:tcPr>
            <w:tcW w:w="1417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F" w:rsidTr="00626578">
        <w:trPr>
          <w:trHeight w:val="180"/>
        </w:trPr>
        <w:tc>
          <w:tcPr>
            <w:tcW w:w="5670" w:type="dxa"/>
          </w:tcPr>
          <w:p w:rsidR="005C45DF" w:rsidRPr="00626578" w:rsidRDefault="00626578" w:rsidP="0062657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78">
              <w:rPr>
                <w:rFonts w:ascii="Times New Roman" w:hAnsi="Times New Roman" w:cs="Times New Roman"/>
                <w:b/>
                <w:sz w:val="24"/>
                <w:szCs w:val="24"/>
              </w:rPr>
              <w:t>SUBTOTAL – Valores não identificados</w:t>
            </w:r>
          </w:p>
        </w:tc>
        <w:tc>
          <w:tcPr>
            <w:tcW w:w="1418" w:type="dxa"/>
          </w:tcPr>
          <w:p w:rsidR="005C45DF" w:rsidRDefault="00626578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1.114,50</w:t>
            </w:r>
          </w:p>
        </w:tc>
        <w:tc>
          <w:tcPr>
            <w:tcW w:w="1417" w:type="dxa"/>
          </w:tcPr>
          <w:p w:rsidR="005C45DF" w:rsidRDefault="005C45D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82" w:rsidTr="00626578">
        <w:trPr>
          <w:trHeight w:val="180"/>
        </w:trPr>
        <w:tc>
          <w:tcPr>
            <w:tcW w:w="5670" w:type="dxa"/>
          </w:tcPr>
          <w:p w:rsidR="00564982" w:rsidRPr="00EF3753" w:rsidRDefault="00564982" w:rsidP="002E423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53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1418" w:type="dxa"/>
          </w:tcPr>
          <w:p w:rsidR="00564982" w:rsidRPr="00626578" w:rsidRDefault="00626578" w:rsidP="002E4235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1.231.489,86</w:t>
            </w:r>
          </w:p>
        </w:tc>
        <w:tc>
          <w:tcPr>
            <w:tcW w:w="1417" w:type="dxa"/>
          </w:tcPr>
          <w:p w:rsidR="00564982" w:rsidRDefault="00564982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982" w:rsidRDefault="00564982" w:rsidP="00564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982" w:rsidRDefault="004F0BCA" w:rsidP="00626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</w:t>
      </w:r>
      <w:r w:rsidR="00626578">
        <w:rPr>
          <w:rFonts w:ascii="Times New Roman" w:hAnsi="Times New Roman" w:cs="Times New Roman"/>
          <w:sz w:val="24"/>
          <w:szCs w:val="24"/>
        </w:rPr>
        <w:t xml:space="preserve"> a análise dos fatos contábeis que compõe o saldo das variações patrimoniais diminutivas em 2015.</w:t>
      </w:r>
    </w:p>
    <w:p w:rsidR="00626578" w:rsidRDefault="00626578" w:rsidP="00626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relação a despesas com pessoal e encargos, os valores apresentados acima estão todos dispostos no Balanço Orçamentário de 2015</w:t>
      </w:r>
      <w:r w:rsidR="00506540">
        <w:rPr>
          <w:rFonts w:ascii="Times New Roman" w:hAnsi="Times New Roman" w:cs="Times New Roman"/>
          <w:sz w:val="24"/>
          <w:szCs w:val="24"/>
        </w:rPr>
        <w:t>, com exceção para os valores não identificados</w:t>
      </w:r>
      <w:r>
        <w:rPr>
          <w:rFonts w:ascii="Times New Roman" w:hAnsi="Times New Roman" w:cs="Times New Roman"/>
          <w:sz w:val="24"/>
          <w:szCs w:val="24"/>
        </w:rPr>
        <w:t xml:space="preserve">, e constituem o saldo das despesas liquidadas do período. </w:t>
      </w:r>
    </w:p>
    <w:p w:rsidR="00626578" w:rsidRDefault="00626578" w:rsidP="00626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2015, o valor depreendido com salários (conta analítica), gratificação de função (conta analítica), gratificação de natal – 13º salário (conta analítica), férias (conta analítica), adicional de 1/3 (um terço) sobre férias (conta analítica), abono de férias (conta analítica) e horas extras (conta analítica), representou um total de R$ 941.458,64 (</w:t>
      </w:r>
      <w:r w:rsidR="009E450E">
        <w:rPr>
          <w:rFonts w:ascii="Times New Roman" w:hAnsi="Times New Roman" w:cs="Times New Roman"/>
          <w:sz w:val="24"/>
          <w:szCs w:val="24"/>
        </w:rPr>
        <w:t>novecentos e quarenta e um mil quatrocentos e cinquenta e</w:t>
      </w:r>
      <w:r>
        <w:rPr>
          <w:rFonts w:ascii="Times New Roman" w:hAnsi="Times New Roman" w:cs="Times New Roman"/>
          <w:sz w:val="24"/>
          <w:szCs w:val="24"/>
        </w:rPr>
        <w:t xml:space="preserve"> oito reais e sessenta e quatro centavos). </w:t>
      </w:r>
    </w:p>
    <w:p w:rsidR="007832B5" w:rsidRDefault="007832B5" w:rsidP="00626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os processos administrativos referentes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Folhas de Pagamento do período de 2015 encontram-se dispostos</w:t>
      </w:r>
      <w:r w:rsidR="00DD3368">
        <w:rPr>
          <w:rFonts w:ascii="Times New Roman" w:hAnsi="Times New Roman" w:cs="Times New Roman"/>
          <w:sz w:val="24"/>
          <w:szCs w:val="24"/>
        </w:rPr>
        <w:t xml:space="preserve"> junto a equipe de Assessoria Administrativa deste Conselho.</w:t>
      </w:r>
    </w:p>
    <w:p w:rsidR="00626578" w:rsidRDefault="00626578" w:rsidP="00626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comparados os valores gastos com Remuneração com pessoal em 2015 com os valores gastos em 2014, </w:t>
      </w:r>
      <w:r w:rsidR="009E450E">
        <w:rPr>
          <w:rFonts w:ascii="Times New Roman" w:hAnsi="Times New Roman" w:cs="Times New Roman"/>
          <w:sz w:val="24"/>
          <w:szCs w:val="24"/>
        </w:rPr>
        <w:t xml:space="preserve">houve um aumento de 10,9196%. </w:t>
      </w:r>
    </w:p>
    <w:p w:rsidR="009E450E" w:rsidRDefault="009E450E" w:rsidP="00626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 valores gastos com encargos sociais (INSS, FGTS e PIS sobre a folha de pagamento) em 2015 representaram R$ 287.281,40 (Duzentos e oitenta e sete mil, duzentos e oitenta e </w:t>
      </w:r>
      <w:proofErr w:type="gramStart"/>
      <w:r>
        <w:rPr>
          <w:rFonts w:ascii="Times New Roman" w:hAnsi="Times New Roman" w:cs="Times New Roman"/>
          <w:sz w:val="24"/>
          <w:szCs w:val="24"/>
        </w:rPr>
        <w:t>um reais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quarenta centavos). </w:t>
      </w:r>
    </w:p>
    <w:p w:rsidR="009E450E" w:rsidRDefault="009E450E" w:rsidP="00626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contabilidade certifica que para os valores recolhidos para os encargos sociais, os mesmos estão de inteira conformidade com a legislação trabalhista aplicável.</w:t>
      </w:r>
    </w:p>
    <w:p w:rsidR="009E450E" w:rsidRDefault="009E450E" w:rsidP="009E45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comparados os valores gastos com Encargos Sociais em 2015 com os valores gastos em 2014, houve um aumento de 13,6151%. </w:t>
      </w:r>
    </w:p>
    <w:p w:rsidR="009E450E" w:rsidRDefault="00C05217" w:rsidP="00626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valores depreendidos com benefícios a pessoal (somente vale transporte)</w:t>
      </w:r>
      <w:proofErr w:type="gramStart"/>
      <w:r>
        <w:rPr>
          <w:rFonts w:ascii="Times New Roman" w:hAnsi="Times New Roman" w:cs="Times New Roman"/>
          <w:sz w:val="24"/>
          <w:szCs w:val="24"/>
        </w:rPr>
        <w:t>, apresentaram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valores de R$ 1.635,32 (Um mil seiscentos e trinta e cinco reais e trinta e dois centavos). </w:t>
      </w:r>
    </w:p>
    <w:p w:rsidR="00C05217" w:rsidRDefault="00C05217" w:rsidP="00C05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comparados os valores gastos com Benefícios a pessoal em 2015 com os valores gastos em 2014, houve um aumento de 10,0766%.</w:t>
      </w:r>
    </w:p>
    <w:p w:rsidR="00C05217" w:rsidRDefault="00C05217" w:rsidP="00C05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e não menos importante, existe uma divergência apresentada entre os demonstrativos contábeis fechados para o exercício social de 2015. Para o Balanço Orçamentário de 2015, em nenhum momento foram encontrados os valores pertinentes </w:t>
      </w:r>
      <w:r w:rsidR="00BF038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quantia descrita acima como “valores não identificados”. A Demonstração das Variações Patrimoniais Diminutivas apresentou para 2015, um total de despesas com Pessoal e encargos um total de R$ 1.231.489,86, enquanto o Balanço Orçamentário para a mesma natureza de despesa apresentou um total de R$ 1.230.375,36. Esta diferença de R$ 1.114,50 (Um mil, cento e quatorze reais e cinquenta centavos) foi adicionado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tabela anterior na intuição única de informação, uma vez que a contabilidade deste Conselho trabalha junto aos demais relatórios financeiros e gerenciais para que este valor seja desvendado o quanto antes possível.</w:t>
      </w:r>
    </w:p>
    <w:p w:rsidR="007F520A" w:rsidRDefault="007F520A" w:rsidP="007F5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 ressaltar que quanto às despesas liquidadas constantes do Balanço Orçamentário e dispostas de maneira agrupada no demonstrativo das Variações Patrimoniais Quantitativas, os valores foram contabilizados segundo diretrizes contábeis e gerenciais do CAU/BR e em pleno acordo com as Normas Brasileiras de Contabilidade Aplicadas ao Setor Público.    </w:t>
      </w:r>
    </w:p>
    <w:p w:rsidR="00C05217" w:rsidRDefault="00C05217" w:rsidP="00C05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estão dispostas as Variações Patrimoniais Diminutivas decorrentes de despesas com pessoal e encargos para o período de 2015.</w:t>
      </w:r>
    </w:p>
    <w:p w:rsidR="00C05217" w:rsidRDefault="00C05217" w:rsidP="00C052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VI – TABELA 6. VARIAÇÃO PATRIMONIAL DIMINUTIVA – </w:t>
      </w:r>
      <w:r w:rsidR="00980C1D">
        <w:rPr>
          <w:rFonts w:ascii="Times New Roman" w:hAnsi="Times New Roman" w:cs="Times New Roman"/>
          <w:sz w:val="24"/>
          <w:szCs w:val="24"/>
        </w:rPr>
        <w:t>USO DE BENS, SERVIÇOS E CONSUMO DE CAPITAL FIXO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276"/>
        <w:gridCol w:w="1275"/>
      </w:tblGrid>
      <w:tr w:rsidR="00C05217" w:rsidTr="002E4235">
        <w:trPr>
          <w:trHeight w:val="180"/>
        </w:trPr>
        <w:tc>
          <w:tcPr>
            <w:tcW w:w="8505" w:type="dxa"/>
            <w:gridSpan w:val="3"/>
          </w:tcPr>
          <w:p w:rsidR="00C05217" w:rsidRPr="006845DE" w:rsidRDefault="00C05217" w:rsidP="002E423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VARIAÇÃO PATRIMONIAL DIMINUTIVA</w:t>
            </w: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Pr="006845DE" w:rsidRDefault="00C05217" w:rsidP="002E423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NATUREZA</w:t>
            </w:r>
          </w:p>
        </w:tc>
        <w:tc>
          <w:tcPr>
            <w:tcW w:w="1276" w:type="dxa"/>
          </w:tcPr>
          <w:p w:rsidR="00C05217" w:rsidRPr="006845DE" w:rsidRDefault="00C05217" w:rsidP="002E423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275" w:type="dxa"/>
          </w:tcPr>
          <w:p w:rsidR="00C05217" w:rsidRPr="006845DE" w:rsidRDefault="00C05217" w:rsidP="002E423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Pr="006845DE" w:rsidRDefault="00C05217" w:rsidP="002E4235">
            <w:pPr>
              <w:pStyle w:val="SemEspaamen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– </w:t>
            </w:r>
            <w:r w:rsidR="00980C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USO DE BENS, SERVIÇOS E CONSUMO DE CAPITAL </w:t>
            </w:r>
            <w:proofErr w:type="gramStart"/>
            <w:r w:rsidR="00980C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FIXO</w:t>
            </w:r>
            <w:proofErr w:type="gramEnd"/>
          </w:p>
        </w:tc>
        <w:tc>
          <w:tcPr>
            <w:tcW w:w="1276" w:type="dxa"/>
          </w:tcPr>
          <w:p w:rsidR="00C05217" w:rsidRPr="006845DE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217" w:rsidRPr="00626578" w:rsidRDefault="00980C1D" w:rsidP="002E4235">
            <w:pPr>
              <w:pStyle w:val="SemEspaamen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663.648,57</w:t>
            </w: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Pr="006845DE" w:rsidRDefault="00980C1D" w:rsidP="00C05217">
            <w:pPr>
              <w:pStyle w:val="SemEspaament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Uso de material de consumo</w:t>
            </w:r>
          </w:p>
        </w:tc>
        <w:tc>
          <w:tcPr>
            <w:tcW w:w="1276" w:type="dxa"/>
          </w:tcPr>
          <w:p w:rsidR="00C05217" w:rsidRPr="006845DE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217" w:rsidRPr="006845DE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Pr="006845DE" w:rsidRDefault="00980C1D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.1) material de consumo</w:t>
            </w:r>
          </w:p>
        </w:tc>
        <w:tc>
          <w:tcPr>
            <w:tcW w:w="1276" w:type="dxa"/>
          </w:tcPr>
          <w:p w:rsidR="00C05217" w:rsidRPr="006845DE" w:rsidRDefault="00980C1D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15.619,95</w:t>
            </w:r>
          </w:p>
        </w:tc>
        <w:tc>
          <w:tcPr>
            <w:tcW w:w="1275" w:type="dxa"/>
          </w:tcPr>
          <w:p w:rsidR="00C05217" w:rsidRPr="006845DE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1D" w:rsidTr="004D397C">
        <w:trPr>
          <w:trHeight w:val="180"/>
        </w:trPr>
        <w:tc>
          <w:tcPr>
            <w:tcW w:w="5954" w:type="dxa"/>
          </w:tcPr>
          <w:p w:rsidR="00980C1D" w:rsidRPr="00980C1D" w:rsidRDefault="00980C1D" w:rsidP="00980C1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1D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Material de consumo</w:t>
            </w:r>
          </w:p>
        </w:tc>
        <w:tc>
          <w:tcPr>
            <w:tcW w:w="1276" w:type="dxa"/>
          </w:tcPr>
          <w:p w:rsidR="00980C1D" w:rsidRPr="006845DE" w:rsidRDefault="00980C1D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C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15.619,95</w:t>
            </w:r>
          </w:p>
        </w:tc>
        <w:tc>
          <w:tcPr>
            <w:tcW w:w="1275" w:type="dxa"/>
          </w:tcPr>
          <w:p w:rsidR="00980C1D" w:rsidRPr="006845DE" w:rsidRDefault="00980C1D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Pr="006845DE" w:rsidRDefault="00980C1D" w:rsidP="00980C1D">
            <w:pPr>
              <w:pStyle w:val="SemEspaament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</w:p>
        </w:tc>
        <w:tc>
          <w:tcPr>
            <w:tcW w:w="1276" w:type="dxa"/>
          </w:tcPr>
          <w:p w:rsidR="00C05217" w:rsidRPr="006845DE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217" w:rsidRPr="006845DE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Default="00980C1D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diárias </w:t>
            </w:r>
          </w:p>
        </w:tc>
        <w:tc>
          <w:tcPr>
            <w:tcW w:w="1276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Default="00980C1D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1.1) Diárias de conselheiros e convidados</w:t>
            </w:r>
          </w:p>
        </w:tc>
        <w:tc>
          <w:tcPr>
            <w:tcW w:w="1276" w:type="dxa"/>
          </w:tcPr>
          <w:p w:rsidR="00C05217" w:rsidRDefault="00980C1D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91.924,00</w:t>
            </w: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Default="00980C1D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.1.2) Diárias de funcionários</w:t>
            </w:r>
          </w:p>
        </w:tc>
        <w:tc>
          <w:tcPr>
            <w:tcW w:w="1276" w:type="dxa"/>
          </w:tcPr>
          <w:p w:rsidR="00C05217" w:rsidRDefault="00980C1D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23.244,90</w:t>
            </w: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Default="00980C1D" w:rsidP="00980C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C1D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Diárias</w:t>
            </w:r>
            <w:proofErr w:type="gramEnd"/>
          </w:p>
        </w:tc>
        <w:tc>
          <w:tcPr>
            <w:tcW w:w="1276" w:type="dxa"/>
          </w:tcPr>
          <w:p w:rsidR="00C05217" w:rsidRDefault="00980C1D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C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115.168,90</w:t>
            </w: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Default="00980C1D" w:rsidP="00980C1D">
            <w:pPr>
              <w:pStyle w:val="SemEspaamen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 Serviços de Terceiros – Pessoas Físicas</w:t>
            </w:r>
          </w:p>
        </w:tc>
        <w:tc>
          <w:tcPr>
            <w:tcW w:w="1276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Default="00980C1D" w:rsidP="002E423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2.1) Despesas com locomoção – conselheiros e convidados</w:t>
            </w:r>
          </w:p>
        </w:tc>
        <w:tc>
          <w:tcPr>
            <w:tcW w:w="1276" w:type="dxa"/>
          </w:tcPr>
          <w:p w:rsidR="00C05217" w:rsidRDefault="00980C1D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19.711,70</w:t>
            </w: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Default="00980C1D" w:rsidP="00980C1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2.2) Despesas com locomoção – funcionários</w:t>
            </w:r>
          </w:p>
        </w:tc>
        <w:tc>
          <w:tcPr>
            <w:tcW w:w="1276" w:type="dxa"/>
          </w:tcPr>
          <w:p w:rsidR="00C05217" w:rsidRDefault="00980C1D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298,00</w:t>
            </w: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Default="00980C1D" w:rsidP="00980C1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2.3) </w:t>
            </w:r>
            <w:r w:rsidR="004D397C">
              <w:rPr>
                <w:rFonts w:ascii="Times New Roman" w:hAnsi="Times New Roman" w:cs="Times New Roman"/>
                <w:sz w:val="24"/>
                <w:szCs w:val="24"/>
              </w:rPr>
              <w:t>Despesas com passagens aéreas para conselheiros e convidados</w:t>
            </w:r>
          </w:p>
        </w:tc>
        <w:tc>
          <w:tcPr>
            <w:tcW w:w="1276" w:type="dxa"/>
          </w:tcPr>
          <w:p w:rsidR="00C05217" w:rsidRDefault="004D397C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50.699,92</w:t>
            </w: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Default="004D397C" w:rsidP="00980C1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2.4) Despesas com passagens aéreas para funcionários</w:t>
            </w:r>
          </w:p>
        </w:tc>
        <w:tc>
          <w:tcPr>
            <w:tcW w:w="1276" w:type="dxa"/>
          </w:tcPr>
          <w:p w:rsidR="00C05217" w:rsidRDefault="004D397C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19.452,53</w:t>
            </w: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Default="004D397C" w:rsidP="004D397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2.5) Despesas com remuneração de estagiários</w:t>
            </w:r>
          </w:p>
        </w:tc>
        <w:tc>
          <w:tcPr>
            <w:tcW w:w="1276" w:type="dxa"/>
          </w:tcPr>
          <w:p w:rsidR="00C05217" w:rsidRDefault="004D397C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29.112,00</w:t>
            </w: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Pr="004D397C" w:rsidRDefault="004D397C" w:rsidP="004D397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7C">
              <w:rPr>
                <w:rFonts w:ascii="Times New Roman" w:hAnsi="Times New Roman" w:cs="Times New Roman"/>
                <w:b/>
                <w:sz w:val="24"/>
                <w:szCs w:val="24"/>
              </w:rPr>
              <w:t>SUBTOTAL – Serviços de Terceiros Pessoas Físicas</w:t>
            </w:r>
          </w:p>
        </w:tc>
        <w:tc>
          <w:tcPr>
            <w:tcW w:w="1276" w:type="dxa"/>
          </w:tcPr>
          <w:p w:rsidR="00C05217" w:rsidRDefault="004D397C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119.274,15</w:t>
            </w: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Default="004D397C" w:rsidP="00980C1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Serviços de Terceiros – Pessoas Jurídicas </w:t>
            </w:r>
          </w:p>
        </w:tc>
        <w:tc>
          <w:tcPr>
            <w:tcW w:w="1276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Default="004D397C" w:rsidP="004D397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3.1) IPTU da sede do CAU/MS em 2015</w:t>
            </w:r>
          </w:p>
        </w:tc>
        <w:tc>
          <w:tcPr>
            <w:tcW w:w="1276" w:type="dxa"/>
          </w:tcPr>
          <w:p w:rsidR="00C05217" w:rsidRDefault="004D397C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18.410,13</w:t>
            </w: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Default="004D397C" w:rsidP="00980C1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3.2) </w:t>
            </w:r>
            <w:r w:rsidR="00142CB6">
              <w:rPr>
                <w:rFonts w:ascii="Times New Roman" w:hAnsi="Times New Roman" w:cs="Times New Roman"/>
                <w:sz w:val="24"/>
                <w:szCs w:val="24"/>
              </w:rPr>
              <w:t>Serviços de terceiros (valor extraído do Balanço Orçamentário menos o valor das Passagens)</w:t>
            </w:r>
          </w:p>
        </w:tc>
        <w:tc>
          <w:tcPr>
            <w:tcW w:w="1276" w:type="dxa"/>
          </w:tcPr>
          <w:p w:rsidR="00C05217" w:rsidRDefault="00142CB6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233.658,16</w:t>
            </w: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Pr="005C45DF" w:rsidRDefault="00142CB6" w:rsidP="00980C1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3.3) Encargos Diversos</w:t>
            </w:r>
          </w:p>
        </w:tc>
        <w:tc>
          <w:tcPr>
            <w:tcW w:w="1276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Pr="005C45DF" w:rsidRDefault="00142CB6" w:rsidP="00980C1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3.3.1) Indenizações e restituições</w:t>
            </w:r>
          </w:p>
        </w:tc>
        <w:tc>
          <w:tcPr>
            <w:tcW w:w="1276" w:type="dxa"/>
          </w:tcPr>
          <w:p w:rsidR="00C05217" w:rsidRDefault="00142CB6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6.389,31</w:t>
            </w: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Pr="005C45DF" w:rsidRDefault="00142CB6" w:rsidP="00142CB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3.3.2) Taxas bancárias</w:t>
            </w:r>
          </w:p>
        </w:tc>
        <w:tc>
          <w:tcPr>
            <w:tcW w:w="1276" w:type="dxa"/>
          </w:tcPr>
          <w:p w:rsidR="00C05217" w:rsidRDefault="00142CB6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1.055,86</w:t>
            </w: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Pr="00626578" w:rsidRDefault="00142CB6" w:rsidP="00980C1D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3.3.3) Taxa bancária de Serviços de Cobrança</w:t>
            </w:r>
          </w:p>
        </w:tc>
        <w:tc>
          <w:tcPr>
            <w:tcW w:w="1276" w:type="dxa"/>
          </w:tcPr>
          <w:p w:rsidR="00C05217" w:rsidRDefault="00142CB6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53.853,11</w:t>
            </w: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CB6" w:rsidTr="002E4235">
        <w:trPr>
          <w:trHeight w:val="180"/>
        </w:trPr>
        <w:tc>
          <w:tcPr>
            <w:tcW w:w="5954" w:type="dxa"/>
          </w:tcPr>
          <w:p w:rsidR="00142CB6" w:rsidRPr="00142CB6" w:rsidRDefault="00142CB6" w:rsidP="00142CB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142CB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 w:rsidRPr="00142CB6">
              <w:rPr>
                <w:rFonts w:ascii="Times New Roman" w:hAnsi="Times New Roman" w:cs="Times New Roman"/>
                <w:sz w:val="24"/>
                <w:szCs w:val="24"/>
              </w:rPr>
              <w:t>3.4) Restos a pagar não processados – Liquidados</w:t>
            </w:r>
          </w:p>
        </w:tc>
        <w:tc>
          <w:tcPr>
            <w:tcW w:w="1276" w:type="dxa"/>
          </w:tcPr>
          <w:p w:rsidR="00142CB6" w:rsidRPr="00142CB6" w:rsidRDefault="00142CB6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2CB6" w:rsidRPr="00142CB6" w:rsidRDefault="00142CB6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CB6" w:rsidTr="002E4235">
        <w:trPr>
          <w:trHeight w:val="180"/>
        </w:trPr>
        <w:tc>
          <w:tcPr>
            <w:tcW w:w="5954" w:type="dxa"/>
          </w:tcPr>
          <w:p w:rsidR="00142CB6" w:rsidRPr="00142CB6" w:rsidRDefault="00142CB6" w:rsidP="00142CB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gramStart"/>
            <w:r w:rsidRPr="00142CB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 w:rsidRPr="00142CB6">
              <w:rPr>
                <w:rFonts w:ascii="Times New Roman" w:hAnsi="Times New Roman" w:cs="Times New Roman"/>
                <w:sz w:val="24"/>
                <w:szCs w:val="24"/>
              </w:rPr>
              <w:t>3.4.1) Serviços de terceiros – pessoa jurídica (restos a pagar não processados)</w:t>
            </w:r>
          </w:p>
        </w:tc>
        <w:tc>
          <w:tcPr>
            <w:tcW w:w="1276" w:type="dxa"/>
          </w:tcPr>
          <w:p w:rsidR="00142CB6" w:rsidRPr="00142CB6" w:rsidRDefault="00142CB6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6">
              <w:rPr>
                <w:rFonts w:ascii="Times New Roman" w:hAnsi="Times New Roman" w:cs="Times New Roman"/>
                <w:sz w:val="24"/>
                <w:szCs w:val="24"/>
              </w:rPr>
              <w:t>7.717,99</w:t>
            </w:r>
          </w:p>
        </w:tc>
        <w:tc>
          <w:tcPr>
            <w:tcW w:w="1275" w:type="dxa"/>
          </w:tcPr>
          <w:p w:rsidR="00142CB6" w:rsidRPr="00142CB6" w:rsidRDefault="00142CB6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CB6" w:rsidTr="002E4235">
        <w:trPr>
          <w:trHeight w:val="180"/>
        </w:trPr>
        <w:tc>
          <w:tcPr>
            <w:tcW w:w="5954" w:type="dxa"/>
          </w:tcPr>
          <w:p w:rsidR="00142CB6" w:rsidRPr="00142CB6" w:rsidRDefault="00142CB6" w:rsidP="005A410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3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Serviços de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Terceiros Pessoas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Jurídicas</w:t>
            </w:r>
          </w:p>
        </w:tc>
        <w:tc>
          <w:tcPr>
            <w:tcW w:w="1276" w:type="dxa"/>
          </w:tcPr>
          <w:p w:rsidR="00142CB6" w:rsidRPr="00142CB6" w:rsidRDefault="00142CB6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321.084,56</w:t>
            </w:r>
          </w:p>
        </w:tc>
        <w:tc>
          <w:tcPr>
            <w:tcW w:w="1275" w:type="dxa"/>
          </w:tcPr>
          <w:p w:rsidR="00142CB6" w:rsidRPr="00142CB6" w:rsidRDefault="00142CB6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CB6" w:rsidTr="002E4235">
        <w:trPr>
          <w:trHeight w:val="180"/>
        </w:trPr>
        <w:tc>
          <w:tcPr>
            <w:tcW w:w="5954" w:type="dxa"/>
          </w:tcPr>
          <w:p w:rsidR="00142CB6" w:rsidRPr="00142CB6" w:rsidRDefault="00142CB6" w:rsidP="00142CB6">
            <w:pPr>
              <w:pStyle w:val="SemEspaament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Depreciação, Amortização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Exaustão</w:t>
            </w:r>
            <w:proofErr w:type="gramEnd"/>
          </w:p>
        </w:tc>
        <w:tc>
          <w:tcPr>
            <w:tcW w:w="1276" w:type="dxa"/>
          </w:tcPr>
          <w:p w:rsidR="00142CB6" w:rsidRPr="00142CB6" w:rsidRDefault="00142CB6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2CB6" w:rsidRPr="00142CB6" w:rsidRDefault="00142CB6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CB6" w:rsidTr="004D397C">
        <w:trPr>
          <w:trHeight w:val="180"/>
        </w:trPr>
        <w:tc>
          <w:tcPr>
            <w:tcW w:w="5954" w:type="dxa"/>
          </w:tcPr>
          <w:p w:rsidR="00142CB6" w:rsidRPr="00142CB6" w:rsidRDefault="00142CB6" w:rsidP="00142CB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 Depreciação</w:t>
            </w:r>
          </w:p>
        </w:tc>
        <w:tc>
          <w:tcPr>
            <w:tcW w:w="1276" w:type="dxa"/>
          </w:tcPr>
          <w:p w:rsidR="00142CB6" w:rsidRPr="00142CB6" w:rsidRDefault="00142CB6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92.501,01</w:t>
            </w:r>
          </w:p>
        </w:tc>
        <w:tc>
          <w:tcPr>
            <w:tcW w:w="1275" w:type="dxa"/>
          </w:tcPr>
          <w:p w:rsidR="00142CB6" w:rsidRPr="00142CB6" w:rsidRDefault="00142CB6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17" w:rsidTr="004D397C">
        <w:trPr>
          <w:trHeight w:val="180"/>
        </w:trPr>
        <w:tc>
          <w:tcPr>
            <w:tcW w:w="5954" w:type="dxa"/>
          </w:tcPr>
          <w:p w:rsidR="00C05217" w:rsidRPr="00EF3753" w:rsidRDefault="005A410F" w:rsidP="002E423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53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Depreciação</w:t>
            </w:r>
          </w:p>
        </w:tc>
        <w:tc>
          <w:tcPr>
            <w:tcW w:w="1276" w:type="dxa"/>
          </w:tcPr>
          <w:p w:rsidR="00C05217" w:rsidRPr="005A410F" w:rsidRDefault="005A410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92.501,01</w:t>
            </w:r>
          </w:p>
        </w:tc>
        <w:tc>
          <w:tcPr>
            <w:tcW w:w="1275" w:type="dxa"/>
          </w:tcPr>
          <w:p w:rsidR="00C05217" w:rsidRDefault="00C05217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0F" w:rsidTr="004D397C">
        <w:trPr>
          <w:trHeight w:val="180"/>
        </w:trPr>
        <w:tc>
          <w:tcPr>
            <w:tcW w:w="5954" w:type="dxa"/>
          </w:tcPr>
          <w:p w:rsidR="005A410F" w:rsidRPr="00EF3753" w:rsidRDefault="005A410F" w:rsidP="002E423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1276" w:type="dxa"/>
          </w:tcPr>
          <w:p w:rsidR="005A410F" w:rsidRPr="005A410F" w:rsidRDefault="005A410F" w:rsidP="002E4235">
            <w:pPr>
              <w:pStyle w:val="SemEspaamen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1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663.648,57</w:t>
            </w:r>
          </w:p>
        </w:tc>
        <w:tc>
          <w:tcPr>
            <w:tcW w:w="1275" w:type="dxa"/>
          </w:tcPr>
          <w:p w:rsidR="005A410F" w:rsidRDefault="005A410F" w:rsidP="002E4235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217" w:rsidRDefault="00C05217" w:rsidP="00C05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217" w:rsidRDefault="005A410F" w:rsidP="00626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Embora a tabela 6 (VARIAÇÃO PATRIMONIAL DIMINUTIVA – USO DE BENS, SERVIÇOS E CONSUMO DE CAPITAL FIXO) seja bastante elucidativa, cabe</w:t>
      </w:r>
      <w:r w:rsidR="00D2060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alguns apontamentos contábeis com relação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mesma:</w:t>
      </w:r>
    </w:p>
    <w:p w:rsidR="005A410F" w:rsidRDefault="005A410F" w:rsidP="00626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– os valores extraídos do Balanço Orçamentário para o exercício de 2015, com despesas com materiais de consumo foi o mesmo valor encontrado na Demonstração das Variações Patrimoniais Diminutivas, natureza material de consumo. Compõe esta conta contábil sintética os seguintes itens: material de expediente, de informática, de copa e cozinha, materiais para manutenção de bens móveis, combustíveis e lubrificantes, bem como bandeiras, flâmulas e placas.</w:t>
      </w:r>
    </w:p>
    <w:p w:rsidR="005A410F" w:rsidRDefault="005A410F" w:rsidP="00626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os serviços estão dispostos em três grandes grupos, acima já elencados na tabela anterior. Com relação às diárias, os valores considerados são os valores com despesas com diárias tanto para conselheiros e convidados, como para diárias com funcionários. </w:t>
      </w:r>
    </w:p>
    <w:p w:rsidR="005A410F" w:rsidRDefault="005A410F" w:rsidP="00626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os </w:t>
      </w:r>
      <w:r w:rsidRPr="002E4235">
        <w:rPr>
          <w:rFonts w:ascii="Times New Roman" w:hAnsi="Times New Roman" w:cs="Times New Roman"/>
          <w:b/>
          <w:sz w:val="24"/>
          <w:szCs w:val="24"/>
        </w:rPr>
        <w:t>serviços terceiros – pessoa física</w:t>
      </w:r>
      <w:r>
        <w:rPr>
          <w:rFonts w:ascii="Times New Roman" w:hAnsi="Times New Roman" w:cs="Times New Roman"/>
          <w:sz w:val="24"/>
          <w:szCs w:val="24"/>
        </w:rPr>
        <w:t>, os valores considerados são os de despesas com locomoção, tanto de conselheiros e convidados, como para funcionários, despesas com passagens aéreas para conselheiros, passagens aéreas para funcionários e despesas com remuneração de estagiários.</w:t>
      </w:r>
      <w:r w:rsidR="002E4235">
        <w:rPr>
          <w:rFonts w:ascii="Times New Roman" w:hAnsi="Times New Roman" w:cs="Times New Roman"/>
          <w:sz w:val="24"/>
          <w:szCs w:val="24"/>
        </w:rPr>
        <w:t xml:space="preserve"> Todos os valores foram extraídos diretamente do Balanço Orçamentário do exercício.</w:t>
      </w:r>
    </w:p>
    <w:p w:rsidR="002E4235" w:rsidRDefault="005A410F" w:rsidP="00626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os </w:t>
      </w:r>
      <w:r w:rsidRPr="002E4235">
        <w:rPr>
          <w:rFonts w:ascii="Times New Roman" w:hAnsi="Times New Roman" w:cs="Times New Roman"/>
          <w:b/>
          <w:sz w:val="24"/>
          <w:szCs w:val="24"/>
        </w:rPr>
        <w:t xml:space="preserve">serviços </w:t>
      </w:r>
      <w:r w:rsidR="002E4235" w:rsidRPr="002E4235">
        <w:rPr>
          <w:rFonts w:ascii="Times New Roman" w:hAnsi="Times New Roman" w:cs="Times New Roman"/>
          <w:b/>
          <w:sz w:val="24"/>
          <w:szCs w:val="24"/>
        </w:rPr>
        <w:t>de terceiros – pessoa jurídica</w:t>
      </w:r>
      <w:r w:rsidR="002E4235">
        <w:rPr>
          <w:rFonts w:ascii="Times New Roman" w:hAnsi="Times New Roman" w:cs="Times New Roman"/>
          <w:sz w:val="24"/>
          <w:szCs w:val="24"/>
        </w:rPr>
        <w:t>, os valores considerados são os de despesas com IPTU da sede do CAU/MS em 2015, despesas com serviços de terceiros dispostos no Balanço Orçamentário, excluídas para este último valor os gastos com despesas com passagens aéreas. Ainda somam-se</w:t>
      </w:r>
      <w:r w:rsidR="008D5C09">
        <w:rPr>
          <w:rFonts w:ascii="Times New Roman" w:hAnsi="Times New Roman" w:cs="Times New Roman"/>
          <w:sz w:val="24"/>
          <w:szCs w:val="24"/>
        </w:rPr>
        <w:t xml:space="preserve"> a estas despesas,</w:t>
      </w:r>
      <w:r w:rsidR="002E4235">
        <w:rPr>
          <w:rFonts w:ascii="Times New Roman" w:hAnsi="Times New Roman" w:cs="Times New Roman"/>
          <w:sz w:val="24"/>
          <w:szCs w:val="24"/>
        </w:rPr>
        <w:t xml:space="preserve"> as despesas com encargos sociais, e por fim, as despesas com restos a pagar não processados liquidados, que consta do Balanço Orçamentário para o exercício de 2015.</w:t>
      </w:r>
    </w:p>
    <w:p w:rsidR="002E4235" w:rsidRDefault="002E4235" w:rsidP="00626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ainda dentro dos valores de uso de bens, serviços e consumo de capital fixo, a contabilidade reportou os valores com depreciação, na ordem de R$ 92.501,01. Cabe mencionar que a contabilidade dispõe de mecanismo de gestão muito qualificado para </w:t>
      </w:r>
      <w:r w:rsidR="00DC15DE">
        <w:rPr>
          <w:rFonts w:ascii="Times New Roman" w:hAnsi="Times New Roman" w:cs="Times New Roman"/>
          <w:sz w:val="24"/>
          <w:szCs w:val="24"/>
        </w:rPr>
        <w:t>o devido controle do patrimônio</w:t>
      </w:r>
      <w:r>
        <w:rPr>
          <w:rFonts w:ascii="Times New Roman" w:hAnsi="Times New Roman" w:cs="Times New Roman"/>
          <w:sz w:val="24"/>
          <w:szCs w:val="24"/>
        </w:rPr>
        <w:t xml:space="preserve"> da Autarquia. Todas as despesas com depreciações são automáticas, o que diminui os riscos de erros de contabilização, uma vez que bastam</w:t>
      </w:r>
      <w:r w:rsidR="00DC15DE">
        <w:rPr>
          <w:rFonts w:ascii="Times New Roman" w:hAnsi="Times New Roman" w:cs="Times New Roman"/>
          <w:sz w:val="24"/>
          <w:szCs w:val="24"/>
        </w:rPr>
        <w:t xml:space="preserve"> os bens adquiridos</w:t>
      </w:r>
      <w:r>
        <w:rPr>
          <w:rFonts w:ascii="Times New Roman" w:hAnsi="Times New Roman" w:cs="Times New Roman"/>
          <w:sz w:val="24"/>
          <w:szCs w:val="24"/>
        </w:rPr>
        <w:t xml:space="preserve"> estarem corretamente cadastrados, os valores são gerados e processados automaticamente</w:t>
      </w:r>
      <w:r w:rsidR="00DC15DE">
        <w:rPr>
          <w:rFonts w:ascii="Times New Roman" w:hAnsi="Times New Roman" w:cs="Times New Roman"/>
          <w:sz w:val="24"/>
          <w:szCs w:val="24"/>
        </w:rPr>
        <w:t>, sempre em obediência ao princípio da competência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10F" w:rsidRDefault="002E4235" w:rsidP="00626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Contudo, embora haja um aumento </w:t>
      </w:r>
      <w:r w:rsidR="00ED2A3B">
        <w:rPr>
          <w:rFonts w:ascii="Times New Roman" w:hAnsi="Times New Roman" w:cs="Times New Roman"/>
          <w:sz w:val="24"/>
          <w:szCs w:val="24"/>
        </w:rPr>
        <w:t>nas despesas</w:t>
      </w:r>
      <w:r>
        <w:rPr>
          <w:rFonts w:ascii="Times New Roman" w:hAnsi="Times New Roman" w:cs="Times New Roman"/>
          <w:sz w:val="24"/>
          <w:szCs w:val="24"/>
        </w:rPr>
        <w:t xml:space="preserve"> com depreciação em comparação com o Demonstrativo das Variações Patrimoniais de 2014, as despesas com uso de bens, serviços e consumo de capital fixo</w:t>
      </w:r>
      <w:r w:rsidR="00ED2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representou uma queda</w:t>
      </w:r>
      <w:r w:rsidR="00ED2A3B">
        <w:rPr>
          <w:rFonts w:ascii="Times New Roman" w:hAnsi="Times New Roman" w:cs="Times New Roman"/>
          <w:sz w:val="24"/>
          <w:szCs w:val="24"/>
        </w:rPr>
        <w:t xml:space="preserve"> aproximadamente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D2A3B">
        <w:rPr>
          <w:rFonts w:ascii="Times New Roman" w:hAnsi="Times New Roman" w:cs="Times New Roman"/>
          <w:sz w:val="24"/>
          <w:szCs w:val="24"/>
        </w:rPr>
        <w:t>12,78%.</w:t>
      </w:r>
    </w:p>
    <w:p w:rsidR="007F520A" w:rsidRDefault="007F520A" w:rsidP="007F5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 ressaltar que quanto às despesas liquidadas constantes do Balanço Orçamentário e dispostas de maneira agrupada no demonstrativo das Variações Patrimoniais Quantitativas, os valores foram contabilizados segundo diretrizes contábeis e gerenciais do CAU/BR e em pleno acordo com as Normas Brasileiras de Contabilidade Aplicadas ao Setor Público.    </w:t>
      </w:r>
    </w:p>
    <w:p w:rsidR="007F520A" w:rsidRDefault="007F520A" w:rsidP="007F5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Assim estão dispostas as Variações Patrimoniais Diminutivas decorrentes de despesas com uso de bens, serviços e consumo de capital fixo para o período de 2015.</w:t>
      </w:r>
    </w:p>
    <w:p w:rsidR="005F0E7B" w:rsidRDefault="005F0E7B" w:rsidP="005F0E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– TABELA 7. VARIAÇÃO PATRIMONIAL DIMINUTIVA – TRANSFERÊNCIAS CONCEDIDAS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276"/>
        <w:gridCol w:w="1275"/>
      </w:tblGrid>
      <w:tr w:rsidR="005F0E7B" w:rsidTr="000F6840">
        <w:trPr>
          <w:trHeight w:val="180"/>
        </w:trPr>
        <w:tc>
          <w:tcPr>
            <w:tcW w:w="8505" w:type="dxa"/>
            <w:gridSpan w:val="3"/>
          </w:tcPr>
          <w:p w:rsidR="005F0E7B" w:rsidRPr="006845DE" w:rsidRDefault="005F0E7B" w:rsidP="000F684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VARIAÇÃO PATRIMONIAL DIMINUTIVA</w:t>
            </w:r>
          </w:p>
        </w:tc>
      </w:tr>
      <w:tr w:rsidR="005F0E7B" w:rsidTr="000F6840">
        <w:trPr>
          <w:trHeight w:val="180"/>
        </w:trPr>
        <w:tc>
          <w:tcPr>
            <w:tcW w:w="5954" w:type="dxa"/>
          </w:tcPr>
          <w:p w:rsidR="005F0E7B" w:rsidRPr="006845DE" w:rsidRDefault="005F0E7B" w:rsidP="000F684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NATUREZA</w:t>
            </w:r>
          </w:p>
        </w:tc>
        <w:tc>
          <w:tcPr>
            <w:tcW w:w="1276" w:type="dxa"/>
          </w:tcPr>
          <w:p w:rsidR="005F0E7B" w:rsidRPr="006845DE" w:rsidRDefault="005F0E7B" w:rsidP="000F684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275" w:type="dxa"/>
          </w:tcPr>
          <w:p w:rsidR="005F0E7B" w:rsidRPr="006845DE" w:rsidRDefault="005F0E7B" w:rsidP="000F684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5F0E7B" w:rsidTr="000F6840">
        <w:trPr>
          <w:trHeight w:val="180"/>
        </w:trPr>
        <w:tc>
          <w:tcPr>
            <w:tcW w:w="5954" w:type="dxa"/>
          </w:tcPr>
          <w:p w:rsidR="005F0E7B" w:rsidRPr="006845DE" w:rsidRDefault="005F0E7B" w:rsidP="000F6840">
            <w:pPr>
              <w:pStyle w:val="SemEspaamen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– TRANSFERÊNCIAS CONCEDIDAS</w:t>
            </w:r>
          </w:p>
        </w:tc>
        <w:tc>
          <w:tcPr>
            <w:tcW w:w="1276" w:type="dxa"/>
          </w:tcPr>
          <w:p w:rsidR="005F0E7B" w:rsidRPr="006845DE" w:rsidRDefault="005F0E7B" w:rsidP="000F6840">
            <w:pPr>
              <w:pStyle w:val="SemEspaamen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E7B" w:rsidRPr="00626578" w:rsidRDefault="005F0E7B" w:rsidP="000F6840">
            <w:pPr>
              <w:pStyle w:val="SemEspaamen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270.087,08</w:t>
            </w:r>
          </w:p>
        </w:tc>
      </w:tr>
      <w:tr w:rsidR="005F0E7B" w:rsidTr="000F6840">
        <w:trPr>
          <w:trHeight w:val="180"/>
        </w:trPr>
        <w:tc>
          <w:tcPr>
            <w:tcW w:w="5954" w:type="dxa"/>
          </w:tcPr>
          <w:p w:rsidR="005F0E7B" w:rsidRPr="006845DE" w:rsidRDefault="005F0E7B" w:rsidP="005F0E7B">
            <w:pPr>
              <w:pStyle w:val="SemEspaament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Transferências Correntes</w:t>
            </w:r>
          </w:p>
        </w:tc>
        <w:tc>
          <w:tcPr>
            <w:tcW w:w="1276" w:type="dxa"/>
          </w:tcPr>
          <w:p w:rsidR="005F0E7B" w:rsidRPr="006845DE" w:rsidRDefault="005F0E7B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E7B" w:rsidRPr="006845DE" w:rsidRDefault="005F0E7B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7B" w:rsidTr="000F6840">
        <w:trPr>
          <w:trHeight w:val="180"/>
        </w:trPr>
        <w:tc>
          <w:tcPr>
            <w:tcW w:w="5954" w:type="dxa"/>
          </w:tcPr>
          <w:p w:rsidR="005F0E7B" w:rsidRPr="006845DE" w:rsidRDefault="005F0E7B" w:rsidP="000F684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 Fundo Nacional de Apoio aos CAU/UF</w:t>
            </w:r>
          </w:p>
        </w:tc>
        <w:tc>
          <w:tcPr>
            <w:tcW w:w="1276" w:type="dxa"/>
          </w:tcPr>
          <w:p w:rsidR="005F0E7B" w:rsidRPr="006845DE" w:rsidRDefault="005F0E7B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95.783,00</w:t>
            </w:r>
          </w:p>
        </w:tc>
        <w:tc>
          <w:tcPr>
            <w:tcW w:w="1275" w:type="dxa"/>
          </w:tcPr>
          <w:p w:rsidR="005F0E7B" w:rsidRPr="006845DE" w:rsidRDefault="005F0E7B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7B" w:rsidTr="000F6840">
        <w:trPr>
          <w:trHeight w:val="180"/>
        </w:trPr>
        <w:tc>
          <w:tcPr>
            <w:tcW w:w="5954" w:type="dxa"/>
          </w:tcPr>
          <w:p w:rsidR="005F0E7B" w:rsidRPr="005F0E7B" w:rsidRDefault="005F0E7B" w:rsidP="005F0E7B">
            <w:pPr>
              <w:pStyle w:val="SemEspaament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Convênios, Contratos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Patrocínio</w:t>
            </w:r>
            <w:proofErr w:type="gramEnd"/>
          </w:p>
        </w:tc>
        <w:tc>
          <w:tcPr>
            <w:tcW w:w="1276" w:type="dxa"/>
          </w:tcPr>
          <w:p w:rsidR="005F0E7B" w:rsidRPr="006845DE" w:rsidRDefault="005F0E7B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E7B" w:rsidRPr="006845DE" w:rsidRDefault="005F0E7B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7B" w:rsidTr="000F6840">
        <w:trPr>
          <w:trHeight w:val="180"/>
        </w:trPr>
        <w:tc>
          <w:tcPr>
            <w:tcW w:w="5954" w:type="dxa"/>
          </w:tcPr>
          <w:p w:rsidR="005F0E7B" w:rsidRPr="005F0E7B" w:rsidRDefault="005F0E7B" w:rsidP="005F0E7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 Convênios, Acordos e Ajuda a Entidades</w:t>
            </w:r>
          </w:p>
        </w:tc>
        <w:tc>
          <w:tcPr>
            <w:tcW w:w="1276" w:type="dxa"/>
          </w:tcPr>
          <w:p w:rsidR="005F0E7B" w:rsidRDefault="005F0E7B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275" w:type="dxa"/>
          </w:tcPr>
          <w:p w:rsidR="005F0E7B" w:rsidRDefault="005F0E7B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7B" w:rsidTr="000F6840">
        <w:trPr>
          <w:trHeight w:val="180"/>
        </w:trPr>
        <w:tc>
          <w:tcPr>
            <w:tcW w:w="5954" w:type="dxa"/>
          </w:tcPr>
          <w:p w:rsidR="005F0E7B" w:rsidRPr="005F0E7B" w:rsidRDefault="005F0E7B" w:rsidP="005F0E7B">
            <w:pPr>
              <w:pStyle w:val="SemEspaament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de Serviços Compartilhados</w:t>
            </w:r>
          </w:p>
        </w:tc>
        <w:tc>
          <w:tcPr>
            <w:tcW w:w="1276" w:type="dxa"/>
          </w:tcPr>
          <w:p w:rsidR="005F0E7B" w:rsidRDefault="005F0E7B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E7B" w:rsidRDefault="005F0E7B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7B" w:rsidTr="000F6840">
        <w:trPr>
          <w:trHeight w:val="180"/>
        </w:trPr>
        <w:tc>
          <w:tcPr>
            <w:tcW w:w="5954" w:type="dxa"/>
          </w:tcPr>
          <w:p w:rsidR="005F0E7B" w:rsidRPr="005F0E7B" w:rsidRDefault="005F0E7B" w:rsidP="005F0E7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 CSC</w:t>
            </w:r>
          </w:p>
        </w:tc>
        <w:tc>
          <w:tcPr>
            <w:tcW w:w="1276" w:type="dxa"/>
          </w:tcPr>
          <w:p w:rsidR="005F0E7B" w:rsidRDefault="005F0E7B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135.731,00</w:t>
            </w:r>
          </w:p>
        </w:tc>
        <w:tc>
          <w:tcPr>
            <w:tcW w:w="1275" w:type="dxa"/>
          </w:tcPr>
          <w:p w:rsidR="005F0E7B" w:rsidRDefault="005F0E7B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7B" w:rsidTr="000F6840">
        <w:trPr>
          <w:trHeight w:val="180"/>
        </w:trPr>
        <w:tc>
          <w:tcPr>
            <w:tcW w:w="5954" w:type="dxa"/>
          </w:tcPr>
          <w:p w:rsidR="005F0E7B" w:rsidRPr="005F0E7B" w:rsidRDefault="005F0E7B" w:rsidP="005F0E7B">
            <w:pPr>
              <w:pStyle w:val="SemEspaamen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 Fundo de reserva do Centro de Serviços compartilhados</w:t>
            </w:r>
          </w:p>
        </w:tc>
        <w:tc>
          <w:tcPr>
            <w:tcW w:w="1276" w:type="dxa"/>
          </w:tcPr>
          <w:p w:rsidR="005F0E7B" w:rsidRDefault="005F0E7B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13.573,08</w:t>
            </w:r>
          </w:p>
        </w:tc>
        <w:tc>
          <w:tcPr>
            <w:tcW w:w="1275" w:type="dxa"/>
          </w:tcPr>
          <w:p w:rsidR="005F0E7B" w:rsidRDefault="005F0E7B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7B" w:rsidTr="000F6840">
        <w:trPr>
          <w:trHeight w:val="180"/>
        </w:trPr>
        <w:tc>
          <w:tcPr>
            <w:tcW w:w="5954" w:type="dxa"/>
          </w:tcPr>
          <w:p w:rsidR="005F0E7B" w:rsidRPr="00BD049B" w:rsidRDefault="00BD049B" w:rsidP="00BD049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1276" w:type="dxa"/>
          </w:tcPr>
          <w:p w:rsidR="005F0E7B" w:rsidRPr="00BD049B" w:rsidRDefault="00BD049B" w:rsidP="000F6840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270.087,08</w:t>
            </w:r>
          </w:p>
        </w:tc>
        <w:tc>
          <w:tcPr>
            <w:tcW w:w="1275" w:type="dxa"/>
          </w:tcPr>
          <w:p w:rsidR="005F0E7B" w:rsidRDefault="005F0E7B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982" w:rsidRDefault="00564982" w:rsidP="00564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982" w:rsidRDefault="00B67162" w:rsidP="00B6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Estão dispostas neste grupo de contas da Variação Patrimonial Diminutiva todas as transferências concedidas ao Fundo Nacional de Apoio aos CAU/</w:t>
      </w:r>
      <w:proofErr w:type="spellStart"/>
      <w:r>
        <w:rPr>
          <w:rFonts w:ascii="Times New Roman" w:hAnsi="Times New Roman" w:cs="Times New Roman"/>
          <w:sz w:val="24"/>
          <w:szCs w:val="24"/>
        </w:rPr>
        <w:t>UFs</w:t>
      </w:r>
      <w:proofErr w:type="spellEnd"/>
      <w:r>
        <w:rPr>
          <w:rFonts w:ascii="Times New Roman" w:hAnsi="Times New Roman" w:cs="Times New Roman"/>
          <w:sz w:val="24"/>
          <w:szCs w:val="24"/>
        </w:rPr>
        <w:t>, bem como aportes financeiros tendo em vista a manutenção do Centro de Serviços Compartilhados para o exercício de 2015.</w:t>
      </w:r>
    </w:p>
    <w:p w:rsidR="00B67162" w:rsidRDefault="00B67162" w:rsidP="00B6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 2015, ocorreu um evento novo perante o CAU/MS, que foi a concessão de patrocínio a duas entidades que deveriam desenvolver trabalhos ou eventos/feiras ligadas diretamente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arquitetura e ao urbanismo em Mato Grosso do Sul. Até então, o CAU/MS nunca havia antes desembolsado quantia referente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ajuda a terceiros para a realização de feiras ou eventos ligados a arquitetura.</w:t>
      </w:r>
    </w:p>
    <w:p w:rsidR="00B67162" w:rsidRDefault="00B67162" w:rsidP="00B6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 valores celebrados com contratos de patrocínio somam R$ 25.000,00 (vinte e cinco mil reais), e estão em inteiro teor com as normas dos editais de patrocínio abertos pelo Conselho de Arquitetura e Urbanismo de Mato Grosso do Sul para o ano calendário de 2015.</w:t>
      </w:r>
    </w:p>
    <w:p w:rsidR="00B67162" w:rsidRDefault="00B67162" w:rsidP="00B67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 ressaltar que quanto às despesas liquidadas constantes do Balanço Orçamentário e dispostas de maneira agrupada no demonstrativo das Variações Patrimoniais Quantitativas, os valores foram contabilizados segundo diretrizes contábeis e gerenciais do CAU/BR e em pleno acordo com as Normas Brasileiras de Contabilidade Aplicadas ao Setor Público.    </w:t>
      </w:r>
    </w:p>
    <w:p w:rsidR="00B67162" w:rsidRDefault="00B67162" w:rsidP="00B67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estão dispostas as Variações Patrimoniais Diminutivas decorrentes de despesas com Transferências concedidas para o período de 2015.</w:t>
      </w:r>
    </w:p>
    <w:p w:rsidR="00B67162" w:rsidRDefault="00B67162" w:rsidP="00B67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VIII – TABELA 8. VARIAÇÃO PATRIMONIAL DIMINUTIVA – OUTRAS VARIAÇÕES PATRIMONIAIS DIMINUTIVAS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276"/>
        <w:gridCol w:w="1275"/>
      </w:tblGrid>
      <w:tr w:rsidR="00B67162" w:rsidTr="000F6840">
        <w:trPr>
          <w:trHeight w:val="180"/>
        </w:trPr>
        <w:tc>
          <w:tcPr>
            <w:tcW w:w="8505" w:type="dxa"/>
            <w:gridSpan w:val="3"/>
          </w:tcPr>
          <w:p w:rsidR="00B67162" w:rsidRPr="006845DE" w:rsidRDefault="00B67162" w:rsidP="000F684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VARIAÇÃO PATRIMONIAL DIMINUTIVA</w:t>
            </w:r>
          </w:p>
        </w:tc>
      </w:tr>
      <w:tr w:rsidR="00B67162" w:rsidTr="000F6840">
        <w:trPr>
          <w:trHeight w:val="180"/>
        </w:trPr>
        <w:tc>
          <w:tcPr>
            <w:tcW w:w="5954" w:type="dxa"/>
          </w:tcPr>
          <w:p w:rsidR="00B67162" w:rsidRPr="006845DE" w:rsidRDefault="00B67162" w:rsidP="000F684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NATUREZA</w:t>
            </w:r>
          </w:p>
        </w:tc>
        <w:tc>
          <w:tcPr>
            <w:tcW w:w="1276" w:type="dxa"/>
          </w:tcPr>
          <w:p w:rsidR="00B67162" w:rsidRPr="006845DE" w:rsidRDefault="00B67162" w:rsidP="000F684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275" w:type="dxa"/>
          </w:tcPr>
          <w:p w:rsidR="00B67162" w:rsidRPr="006845DE" w:rsidRDefault="00B67162" w:rsidP="000F684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B67162" w:rsidTr="000F6840">
        <w:trPr>
          <w:trHeight w:val="180"/>
        </w:trPr>
        <w:tc>
          <w:tcPr>
            <w:tcW w:w="5954" w:type="dxa"/>
          </w:tcPr>
          <w:p w:rsidR="00B67162" w:rsidRPr="006845DE" w:rsidRDefault="00B67162" w:rsidP="000F6840">
            <w:pPr>
              <w:pStyle w:val="SemEspaamen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– OUTRAS VARIAÇÕES PATRIMONIAIS DIMINUTIVAS</w:t>
            </w:r>
          </w:p>
        </w:tc>
        <w:tc>
          <w:tcPr>
            <w:tcW w:w="1276" w:type="dxa"/>
          </w:tcPr>
          <w:p w:rsidR="00B67162" w:rsidRPr="006845DE" w:rsidRDefault="00B67162" w:rsidP="000F6840">
            <w:pPr>
              <w:pStyle w:val="SemEspaamen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7162" w:rsidRPr="00626578" w:rsidRDefault="00B67162" w:rsidP="000F6840">
            <w:pPr>
              <w:pStyle w:val="SemEspaamen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231.511,45</w:t>
            </w:r>
          </w:p>
        </w:tc>
      </w:tr>
      <w:tr w:rsidR="00B67162" w:rsidTr="000F6840">
        <w:trPr>
          <w:trHeight w:val="180"/>
        </w:trPr>
        <w:tc>
          <w:tcPr>
            <w:tcW w:w="5954" w:type="dxa"/>
          </w:tcPr>
          <w:p w:rsidR="00B67162" w:rsidRPr="006845DE" w:rsidRDefault="00093880" w:rsidP="00B67162">
            <w:pPr>
              <w:pStyle w:val="SemEspaament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Diversas variações patrimoniais diminutivas</w:t>
            </w:r>
          </w:p>
        </w:tc>
        <w:tc>
          <w:tcPr>
            <w:tcW w:w="1276" w:type="dxa"/>
          </w:tcPr>
          <w:p w:rsidR="00B67162" w:rsidRPr="006845DE" w:rsidRDefault="00B67162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7162" w:rsidRPr="006845DE" w:rsidRDefault="00B67162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62" w:rsidTr="000F6840">
        <w:trPr>
          <w:trHeight w:val="180"/>
        </w:trPr>
        <w:tc>
          <w:tcPr>
            <w:tcW w:w="5954" w:type="dxa"/>
          </w:tcPr>
          <w:p w:rsidR="00B67162" w:rsidRPr="006845DE" w:rsidRDefault="00093880" w:rsidP="000F684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 Aluguel de imóvel Pessoa Física</w:t>
            </w:r>
          </w:p>
        </w:tc>
        <w:tc>
          <w:tcPr>
            <w:tcW w:w="1276" w:type="dxa"/>
          </w:tcPr>
          <w:p w:rsidR="00B67162" w:rsidRPr="006845DE" w:rsidRDefault="00093880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231.511,45</w:t>
            </w:r>
          </w:p>
        </w:tc>
        <w:tc>
          <w:tcPr>
            <w:tcW w:w="1275" w:type="dxa"/>
          </w:tcPr>
          <w:p w:rsidR="00B67162" w:rsidRPr="006845DE" w:rsidRDefault="00B67162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62" w:rsidTr="000F6840">
        <w:trPr>
          <w:trHeight w:val="180"/>
        </w:trPr>
        <w:tc>
          <w:tcPr>
            <w:tcW w:w="5954" w:type="dxa"/>
          </w:tcPr>
          <w:p w:rsidR="00B67162" w:rsidRPr="00BD049B" w:rsidRDefault="00B67162" w:rsidP="000F684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1276" w:type="dxa"/>
          </w:tcPr>
          <w:p w:rsidR="00B67162" w:rsidRPr="00BD049B" w:rsidRDefault="00093880" w:rsidP="000F6840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231.511,45</w:t>
            </w:r>
          </w:p>
        </w:tc>
        <w:tc>
          <w:tcPr>
            <w:tcW w:w="1275" w:type="dxa"/>
          </w:tcPr>
          <w:p w:rsidR="00B67162" w:rsidRDefault="00B67162" w:rsidP="000F6840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162" w:rsidRDefault="00B67162" w:rsidP="00B6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982" w:rsidRDefault="00093880" w:rsidP="00093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Para o último grupo de contas do Demonstrativo das Variações Patrimoniais Diminutivas de 2015, </w:t>
      </w:r>
      <w:proofErr w:type="gramStart"/>
      <w:r>
        <w:rPr>
          <w:rFonts w:ascii="Times New Roman" w:hAnsi="Times New Roman" w:cs="Times New Roman"/>
          <w:sz w:val="24"/>
          <w:szCs w:val="24"/>
        </w:rPr>
        <w:t>encontra-se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despesas com aluguel dos prédios do Conselho de Arquitetura e Urbanismo de Mato Grosso do Sul em Campo Grande (MS), bem como as despesas com aluguel de imóvel de pessoa física para o prédio do CAU/MS em Dourados (MS).</w:t>
      </w:r>
    </w:p>
    <w:p w:rsidR="00093880" w:rsidRDefault="00093880" w:rsidP="00093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relatório constante do Balanço Orçamentário de 2015, as despesas com Aluguel de imóvel de pessoa física somam R$ 249.921,58 (Duzentos e quarenta e nove mil, novecentos e vinte </w:t>
      </w:r>
      <w:proofErr w:type="gramStart"/>
      <w:r>
        <w:rPr>
          <w:rFonts w:ascii="Times New Roman" w:hAnsi="Times New Roman" w:cs="Times New Roman"/>
          <w:sz w:val="24"/>
          <w:szCs w:val="24"/>
        </w:rPr>
        <w:t>um reais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cinquenta e oito centavos). Deste valor é necessário retirar o valor do IPTU da sede do CAU/MS, no valor de R$ 18.410,13, que foi indevidamente contabilizado como despesas com aluguel de imóvel de pessoa física.</w:t>
      </w:r>
    </w:p>
    <w:p w:rsidR="00093880" w:rsidRDefault="00093880" w:rsidP="00093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 ressaltar que quanto às despesas liquidadas constantes do Balanço Orçamentário e dispostas de maneira agrupada no demonstrativo das Variações Patrimoniais Quantitativas, os valores foram contabilizados segundo diretrizes contábeis e gerenciais do CAU/BR e em pleno acordo com as Normas Brasileiras de Contabilidade Aplicadas ao Setor Público.    </w:t>
      </w:r>
    </w:p>
    <w:p w:rsidR="00093880" w:rsidRDefault="00093880" w:rsidP="00093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estão dispostas as Variações Patrimoniais Diminutivas decorrentes de despesas com Aluguel de Imóvel de Pessoa Física para o período de 2015.</w:t>
      </w:r>
    </w:p>
    <w:p w:rsidR="00093880" w:rsidRDefault="00093880" w:rsidP="00093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74F" w:rsidRDefault="006473EF" w:rsidP="00760E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</w:t>
      </w:r>
      <w:r w:rsidR="00760EB2">
        <w:rPr>
          <w:rFonts w:ascii="Times New Roman" w:hAnsi="Times New Roman" w:cs="Times New Roman"/>
          <w:sz w:val="24"/>
          <w:szCs w:val="24"/>
        </w:rPr>
        <w:t>mpo Grande (MS),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60EB2">
        <w:rPr>
          <w:rFonts w:ascii="Times New Roman" w:hAnsi="Times New Roman" w:cs="Times New Roman"/>
          <w:sz w:val="24"/>
          <w:szCs w:val="24"/>
        </w:rPr>
        <w:t xml:space="preserve"> de janeiro de 2016.</w:t>
      </w:r>
    </w:p>
    <w:p w:rsidR="00760EB2" w:rsidRDefault="00760EB2" w:rsidP="00760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3EF" w:rsidRDefault="006473EF" w:rsidP="00760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0EB2" w:rsidRPr="00760EB2" w:rsidRDefault="00760EB2" w:rsidP="00760E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60EB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0EB2" w:rsidRPr="00760EB2" w:rsidRDefault="00760EB2" w:rsidP="00760E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60EB2">
        <w:rPr>
          <w:rFonts w:ascii="Times New Roman" w:hAnsi="Times New Roman" w:cs="Times New Roman"/>
          <w:sz w:val="24"/>
          <w:szCs w:val="24"/>
        </w:rPr>
        <w:t>Moacir Dias Cardoso Junior</w:t>
      </w:r>
    </w:p>
    <w:p w:rsidR="00760EB2" w:rsidRPr="00760EB2" w:rsidRDefault="00760EB2" w:rsidP="00760E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60EB2">
        <w:rPr>
          <w:rFonts w:ascii="Times New Roman" w:hAnsi="Times New Roman" w:cs="Times New Roman"/>
          <w:sz w:val="24"/>
          <w:szCs w:val="24"/>
        </w:rPr>
        <w:t xml:space="preserve">Contador </w:t>
      </w:r>
    </w:p>
    <w:p w:rsidR="00760EB2" w:rsidRPr="00760EB2" w:rsidRDefault="00760EB2" w:rsidP="00760E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60EB2">
        <w:rPr>
          <w:rFonts w:ascii="Times New Roman" w:hAnsi="Times New Roman" w:cs="Times New Roman"/>
          <w:sz w:val="24"/>
          <w:szCs w:val="24"/>
        </w:rPr>
        <w:t>CRC-MS 012685-O</w:t>
      </w:r>
    </w:p>
    <w:p w:rsidR="00760EB2" w:rsidRPr="00760EB2" w:rsidRDefault="00760EB2" w:rsidP="00760EB2">
      <w:pPr>
        <w:rPr>
          <w:rFonts w:ascii="Times New Roman" w:hAnsi="Times New Roman" w:cs="Times New Roman"/>
          <w:sz w:val="24"/>
          <w:szCs w:val="24"/>
        </w:rPr>
      </w:pPr>
      <w:r w:rsidRPr="00760EB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60EB2" w:rsidRPr="00760EB2" w:rsidRDefault="00760EB2" w:rsidP="00760EB2">
      <w:pPr>
        <w:rPr>
          <w:rFonts w:ascii="Times New Roman" w:hAnsi="Times New Roman" w:cs="Times New Roman"/>
          <w:sz w:val="24"/>
          <w:szCs w:val="24"/>
        </w:rPr>
      </w:pPr>
    </w:p>
    <w:p w:rsidR="00760EB2" w:rsidRDefault="00760EB2" w:rsidP="00760EB2">
      <w:pPr>
        <w:rPr>
          <w:rFonts w:ascii="Times New Roman" w:hAnsi="Times New Roman" w:cs="Times New Roman"/>
          <w:sz w:val="24"/>
          <w:szCs w:val="24"/>
        </w:rPr>
      </w:pPr>
    </w:p>
    <w:p w:rsidR="006473EF" w:rsidRDefault="006473EF" w:rsidP="00760EB2">
      <w:pPr>
        <w:rPr>
          <w:rFonts w:ascii="Times New Roman" w:hAnsi="Times New Roman" w:cs="Times New Roman"/>
          <w:sz w:val="24"/>
          <w:szCs w:val="24"/>
        </w:rPr>
      </w:pPr>
    </w:p>
    <w:p w:rsidR="006473EF" w:rsidRDefault="006473EF" w:rsidP="006473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3EF" w:rsidRPr="00760EB2" w:rsidRDefault="006473EF" w:rsidP="006473E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60EB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73EF" w:rsidRPr="00760EB2" w:rsidRDefault="006473EF" w:rsidP="006473E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Cláudio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Lucchese</w:t>
      </w:r>
      <w:proofErr w:type="spellEnd"/>
    </w:p>
    <w:p w:rsidR="006473EF" w:rsidRPr="00760EB2" w:rsidRDefault="006473EF" w:rsidP="006473E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Gerente Administrativo e Financeiro</w:t>
      </w:r>
    </w:p>
    <w:p w:rsidR="006473EF" w:rsidRPr="00760EB2" w:rsidRDefault="006473EF" w:rsidP="006473E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CPF: </w:t>
      </w:r>
      <w:r w:rsidR="00E36AE5">
        <w:rPr>
          <w:rFonts w:ascii="Times New Roman" w:hAnsi="Times New Roman" w:cs="Times New Roman"/>
          <w:sz w:val="24"/>
          <w:szCs w:val="24"/>
        </w:rPr>
        <w:t>031.124.538-24</w:t>
      </w:r>
    </w:p>
    <w:p w:rsidR="006473EF" w:rsidRDefault="006473EF" w:rsidP="00760EB2">
      <w:pPr>
        <w:rPr>
          <w:rFonts w:ascii="Times New Roman" w:hAnsi="Times New Roman" w:cs="Times New Roman"/>
          <w:sz w:val="24"/>
          <w:szCs w:val="24"/>
        </w:rPr>
      </w:pPr>
    </w:p>
    <w:p w:rsidR="006473EF" w:rsidRDefault="006473EF" w:rsidP="00760EB2">
      <w:pPr>
        <w:rPr>
          <w:rFonts w:ascii="Times New Roman" w:hAnsi="Times New Roman" w:cs="Times New Roman"/>
          <w:sz w:val="24"/>
          <w:szCs w:val="24"/>
        </w:rPr>
      </w:pPr>
    </w:p>
    <w:p w:rsidR="006473EF" w:rsidRDefault="006473EF" w:rsidP="00760EB2">
      <w:pPr>
        <w:rPr>
          <w:rFonts w:ascii="Times New Roman" w:hAnsi="Times New Roman" w:cs="Times New Roman"/>
          <w:sz w:val="24"/>
          <w:szCs w:val="24"/>
        </w:rPr>
      </w:pPr>
    </w:p>
    <w:p w:rsidR="006473EF" w:rsidRDefault="006473EF" w:rsidP="00760EB2">
      <w:pPr>
        <w:rPr>
          <w:rFonts w:ascii="Times New Roman" w:hAnsi="Times New Roman" w:cs="Times New Roman"/>
          <w:sz w:val="24"/>
          <w:szCs w:val="24"/>
        </w:rPr>
      </w:pPr>
    </w:p>
    <w:p w:rsidR="00E36AE5" w:rsidRPr="00760EB2" w:rsidRDefault="00E36AE5" w:rsidP="00760EB2">
      <w:pPr>
        <w:rPr>
          <w:rFonts w:ascii="Times New Roman" w:hAnsi="Times New Roman" w:cs="Times New Roman"/>
          <w:sz w:val="24"/>
          <w:szCs w:val="24"/>
        </w:rPr>
      </w:pPr>
    </w:p>
    <w:p w:rsidR="00760EB2" w:rsidRPr="00760EB2" w:rsidRDefault="00760EB2" w:rsidP="00760E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60EB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0EB2" w:rsidRPr="00760EB2" w:rsidRDefault="00760EB2" w:rsidP="00760E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60EB2">
        <w:rPr>
          <w:rFonts w:ascii="Times New Roman" w:hAnsi="Times New Roman" w:cs="Times New Roman"/>
          <w:sz w:val="24"/>
          <w:szCs w:val="24"/>
        </w:rPr>
        <w:t>Osvaldo Abrão de Souza</w:t>
      </w:r>
    </w:p>
    <w:p w:rsidR="00760EB2" w:rsidRPr="00760EB2" w:rsidRDefault="00760EB2" w:rsidP="00760E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60EB2">
        <w:rPr>
          <w:rFonts w:ascii="Times New Roman" w:hAnsi="Times New Roman" w:cs="Times New Roman"/>
          <w:sz w:val="24"/>
          <w:szCs w:val="24"/>
        </w:rPr>
        <w:t>Presidente</w:t>
      </w:r>
    </w:p>
    <w:p w:rsidR="00760EB2" w:rsidRPr="00760EB2" w:rsidRDefault="00760EB2" w:rsidP="00760E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60EB2">
        <w:rPr>
          <w:rFonts w:ascii="Times New Roman" w:hAnsi="Times New Roman" w:cs="Times New Roman"/>
          <w:sz w:val="24"/>
          <w:szCs w:val="24"/>
        </w:rPr>
        <w:t>CPF: 081.788.101-82</w:t>
      </w:r>
    </w:p>
    <w:p w:rsidR="003346EB" w:rsidRDefault="003346EB" w:rsidP="00283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354" w:rsidRPr="006845DE" w:rsidRDefault="004F6354" w:rsidP="004F6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6354" w:rsidRPr="006845DE" w:rsidSect="00BD171C">
      <w:headerReference w:type="default" r:id="rId8"/>
      <w:foot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35" w:rsidRDefault="002E4235" w:rsidP="00FE1FFB">
      <w:pPr>
        <w:spacing w:after="0" w:line="240" w:lineRule="auto"/>
      </w:pPr>
      <w:r>
        <w:separator/>
      </w:r>
    </w:p>
  </w:endnote>
  <w:endnote w:type="continuationSeparator" w:id="0">
    <w:p w:rsidR="002E4235" w:rsidRDefault="002E4235" w:rsidP="00FE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35" w:rsidRPr="004A4D40" w:rsidRDefault="002E4235" w:rsidP="00FE1FFB">
    <w:pPr>
      <w:pStyle w:val="Rodap"/>
      <w:jc w:val="center"/>
      <w:rPr>
        <w:b/>
      </w:rPr>
    </w:pPr>
    <w:r w:rsidRPr="004A4D40">
      <w:rPr>
        <w:b/>
      </w:rPr>
      <w:t xml:space="preserve">Rua Espirito Santo, 205 – Jardim dos Estados – CEP 79.020-080 – Campo Grande – </w:t>
    </w:r>
    <w:proofErr w:type="gramStart"/>
    <w:r w:rsidRPr="004A4D40">
      <w:rPr>
        <w:b/>
      </w:rPr>
      <w:t>MS</w:t>
    </w:r>
    <w:proofErr w:type="gramEnd"/>
  </w:p>
  <w:p w:rsidR="002E4235" w:rsidRPr="004A4D40" w:rsidRDefault="002E4235" w:rsidP="00FE1FFB">
    <w:pPr>
      <w:pStyle w:val="Rodap"/>
      <w:jc w:val="center"/>
      <w:rPr>
        <w:b/>
      </w:rPr>
    </w:pPr>
    <w:r w:rsidRPr="004A4D40">
      <w:rPr>
        <w:b/>
      </w:rPr>
      <w:t>(67) 3306 7848 (67) 3306 3252 CNPJ: 14.807.913-0001-29</w:t>
    </w:r>
  </w:p>
  <w:p w:rsidR="002E4235" w:rsidRDefault="002E42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35" w:rsidRDefault="002E4235" w:rsidP="00FE1FFB">
      <w:pPr>
        <w:spacing w:after="0" w:line="240" w:lineRule="auto"/>
      </w:pPr>
      <w:r>
        <w:separator/>
      </w:r>
    </w:p>
  </w:footnote>
  <w:footnote w:type="continuationSeparator" w:id="0">
    <w:p w:rsidR="002E4235" w:rsidRDefault="002E4235" w:rsidP="00FE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35" w:rsidRDefault="002E4235">
    <w:pPr>
      <w:pStyle w:val="Cabealho"/>
    </w:pPr>
    <w:r>
      <w:rPr>
        <w:noProof/>
        <w:lang w:eastAsia="pt-BR"/>
      </w:rPr>
      <w:drawing>
        <wp:inline distT="0" distB="0" distL="0" distR="0" wp14:anchorId="2EC54ADA" wp14:editId="61D55640">
          <wp:extent cx="5400040" cy="7461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52" b="1476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64A"/>
    <w:multiLevelType w:val="hybridMultilevel"/>
    <w:tmpl w:val="B05434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1ED6"/>
    <w:multiLevelType w:val="hybridMultilevel"/>
    <w:tmpl w:val="3C8630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324A8"/>
    <w:multiLevelType w:val="hybridMultilevel"/>
    <w:tmpl w:val="B05434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572C"/>
    <w:multiLevelType w:val="hybridMultilevel"/>
    <w:tmpl w:val="69D21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13C0F"/>
    <w:multiLevelType w:val="hybridMultilevel"/>
    <w:tmpl w:val="F5545F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0B3D"/>
    <w:multiLevelType w:val="hybridMultilevel"/>
    <w:tmpl w:val="1CAA1D12"/>
    <w:lvl w:ilvl="0" w:tplc="96969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952E4"/>
    <w:multiLevelType w:val="hybridMultilevel"/>
    <w:tmpl w:val="C820E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20E44"/>
    <w:multiLevelType w:val="hybridMultilevel"/>
    <w:tmpl w:val="B05434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46F97"/>
    <w:multiLevelType w:val="hybridMultilevel"/>
    <w:tmpl w:val="FA7CFE40"/>
    <w:lvl w:ilvl="0" w:tplc="5342A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C401B"/>
    <w:multiLevelType w:val="hybridMultilevel"/>
    <w:tmpl w:val="69D21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A7045"/>
    <w:multiLevelType w:val="hybridMultilevel"/>
    <w:tmpl w:val="3280DD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DE"/>
    <w:rsid w:val="00001EA0"/>
    <w:rsid w:val="000539B2"/>
    <w:rsid w:val="000725F9"/>
    <w:rsid w:val="000800A8"/>
    <w:rsid w:val="00093880"/>
    <w:rsid w:val="00142CB6"/>
    <w:rsid w:val="0016546F"/>
    <w:rsid w:val="0028318F"/>
    <w:rsid w:val="002E4235"/>
    <w:rsid w:val="003346EB"/>
    <w:rsid w:val="00341B29"/>
    <w:rsid w:val="00344F74"/>
    <w:rsid w:val="003A4FF7"/>
    <w:rsid w:val="003E67B7"/>
    <w:rsid w:val="0048248B"/>
    <w:rsid w:val="004D397C"/>
    <w:rsid w:val="004F0BCA"/>
    <w:rsid w:val="004F6354"/>
    <w:rsid w:val="00506540"/>
    <w:rsid w:val="00564982"/>
    <w:rsid w:val="005A410F"/>
    <w:rsid w:val="005C45DF"/>
    <w:rsid w:val="005D712D"/>
    <w:rsid w:val="005F0E7B"/>
    <w:rsid w:val="00626578"/>
    <w:rsid w:val="00642CA7"/>
    <w:rsid w:val="006473EF"/>
    <w:rsid w:val="0065503D"/>
    <w:rsid w:val="006845DE"/>
    <w:rsid w:val="00760EB2"/>
    <w:rsid w:val="00766874"/>
    <w:rsid w:val="007832B5"/>
    <w:rsid w:val="007928A4"/>
    <w:rsid w:val="007A3C7B"/>
    <w:rsid w:val="007C16A4"/>
    <w:rsid w:val="007E569F"/>
    <w:rsid w:val="007F520A"/>
    <w:rsid w:val="0086797E"/>
    <w:rsid w:val="008D5C09"/>
    <w:rsid w:val="0093674F"/>
    <w:rsid w:val="0097555D"/>
    <w:rsid w:val="00980C1D"/>
    <w:rsid w:val="009E450E"/>
    <w:rsid w:val="009F1EF5"/>
    <w:rsid w:val="00A676E6"/>
    <w:rsid w:val="00AA1E93"/>
    <w:rsid w:val="00AE41B5"/>
    <w:rsid w:val="00B67162"/>
    <w:rsid w:val="00BD049B"/>
    <w:rsid w:val="00BD171C"/>
    <w:rsid w:val="00BF0386"/>
    <w:rsid w:val="00C05217"/>
    <w:rsid w:val="00D20609"/>
    <w:rsid w:val="00D46CC5"/>
    <w:rsid w:val="00D47132"/>
    <w:rsid w:val="00DC15DE"/>
    <w:rsid w:val="00DD3368"/>
    <w:rsid w:val="00E0230E"/>
    <w:rsid w:val="00E36AE5"/>
    <w:rsid w:val="00EB211B"/>
    <w:rsid w:val="00EB7E3B"/>
    <w:rsid w:val="00EC0AE0"/>
    <w:rsid w:val="00ED2A3B"/>
    <w:rsid w:val="00EF3753"/>
    <w:rsid w:val="00F22908"/>
    <w:rsid w:val="00F61B92"/>
    <w:rsid w:val="00FE1FF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845D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E1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FFB"/>
  </w:style>
  <w:style w:type="paragraph" w:styleId="Rodap">
    <w:name w:val="footer"/>
    <w:basedOn w:val="Normal"/>
    <w:link w:val="RodapChar"/>
    <w:uiPriority w:val="99"/>
    <w:unhideWhenUsed/>
    <w:rsid w:val="00FE1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FFB"/>
  </w:style>
  <w:style w:type="paragraph" w:styleId="Textodebalo">
    <w:name w:val="Balloon Text"/>
    <w:basedOn w:val="Normal"/>
    <w:link w:val="TextodebaloChar"/>
    <w:uiPriority w:val="99"/>
    <w:semiHidden/>
    <w:unhideWhenUsed/>
    <w:rsid w:val="00FE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845D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E1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FFB"/>
  </w:style>
  <w:style w:type="paragraph" w:styleId="Rodap">
    <w:name w:val="footer"/>
    <w:basedOn w:val="Normal"/>
    <w:link w:val="RodapChar"/>
    <w:uiPriority w:val="99"/>
    <w:unhideWhenUsed/>
    <w:rsid w:val="00FE1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FFB"/>
  </w:style>
  <w:style w:type="paragraph" w:styleId="Textodebalo">
    <w:name w:val="Balloon Text"/>
    <w:basedOn w:val="Normal"/>
    <w:link w:val="TextodebaloChar"/>
    <w:uiPriority w:val="99"/>
    <w:semiHidden/>
    <w:unhideWhenUsed/>
    <w:rsid w:val="00FE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13</Pages>
  <Words>4287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contador</cp:lastModifiedBy>
  <cp:revision>34</cp:revision>
  <dcterms:created xsi:type="dcterms:W3CDTF">2016-01-21T15:20:00Z</dcterms:created>
  <dcterms:modified xsi:type="dcterms:W3CDTF">2016-01-27T17:05:00Z</dcterms:modified>
</cp:coreProperties>
</file>