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CF5A09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065B38">
              <w:rPr>
                <w:rFonts w:ascii="Times New Roman" w:eastAsia="Times New Roman" w:hAnsi="Times New Roman"/>
                <w:b/>
                <w:bCs/>
              </w:rPr>
              <w:t>39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7A68AC" w:rsidRPr="007A68AC" w:rsidRDefault="00516E3A" w:rsidP="00AA171E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 xml:space="preserve">solicitação em regime de urgência do registro definitivo de </w:t>
      </w:r>
      <w:r w:rsidR="00065B38" w:rsidRPr="00BF0E18">
        <w:rPr>
          <w:rFonts w:ascii="Times New Roman" w:hAnsi="Times New Roman"/>
          <w:b/>
        </w:rPr>
        <w:t>Gustavo Albuquerque da Cunha</w:t>
      </w:r>
      <w:r w:rsidR="00BF0E18" w:rsidRPr="002C793B">
        <w:rPr>
          <w:rFonts w:ascii="Times New Roman" w:hAnsi="Times New Roman"/>
          <w:color w:val="000000"/>
        </w:rPr>
        <w:t>, não sendo possível prorrogação em face de ter colado grau em</w:t>
      </w:r>
      <w:r w:rsidR="00BF0E18">
        <w:rPr>
          <w:rFonts w:ascii="Times New Roman" w:hAnsi="Times New Roman"/>
          <w:color w:val="000000"/>
        </w:rPr>
        <w:t xml:space="preserve"> </w:t>
      </w:r>
      <w:r w:rsidR="00BF0E18">
        <w:rPr>
          <w:rFonts w:ascii="Times New Roman" w:hAnsi="Times New Roman"/>
          <w:b/>
          <w:color w:val="000000"/>
        </w:rPr>
        <w:t>10</w:t>
      </w:r>
      <w:r w:rsidR="00BF0E18" w:rsidRPr="00BF0E18">
        <w:rPr>
          <w:rFonts w:ascii="Times New Roman" w:hAnsi="Times New Roman"/>
          <w:b/>
          <w:color w:val="000000"/>
        </w:rPr>
        <w:t xml:space="preserve"> de dezembro de 2019</w:t>
      </w:r>
      <w:r w:rsidR="007A68AC" w:rsidRPr="007A68AC">
        <w:rPr>
          <w:rFonts w:ascii="Times New Roman" w:hAnsi="Times New Roman"/>
        </w:rPr>
        <w:t>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</w:t>
      </w:r>
      <w:r w:rsidR="0048669A">
        <w:rPr>
          <w:rFonts w:ascii="Times New Roman" w:hAnsi="Times New Roman"/>
        </w:rPr>
        <w:t xml:space="preserve">de </w:t>
      </w:r>
      <w:r w:rsidR="00065B38" w:rsidRPr="00065B38">
        <w:rPr>
          <w:rFonts w:ascii="Times New Roman" w:hAnsi="Times New Roman"/>
          <w:b/>
        </w:rPr>
        <w:t>Gustavo Albuquerque da Cunha</w:t>
      </w:r>
      <w:r w:rsidR="00065B38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065B38">
        <w:rPr>
          <w:rFonts w:ascii="Times New Roman" w:hAnsi="Times New Roman"/>
          <w:b/>
        </w:rPr>
        <w:t>1540461</w:t>
      </w:r>
      <w:r w:rsidR="004E6163">
        <w:rPr>
          <w:rFonts w:ascii="Times New Roman" w:hAnsi="Times New Roman"/>
          <w:b/>
        </w:rPr>
        <w:t>/2022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065B38">
        <w:rPr>
          <w:rFonts w:ascii="Times New Roman" w:eastAsia="Times New Roman" w:hAnsi="Times New Roman"/>
          <w:bCs/>
        </w:rPr>
        <w:t>25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8951EC">
        <w:rPr>
          <w:rFonts w:ascii="Times New Roman" w:eastAsia="Times New Roman" w:hAnsi="Times New Roman"/>
          <w:bCs/>
        </w:rPr>
        <w:t>maio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  <w:bookmarkStart w:id="0" w:name="_GoBack"/>
      <w:bookmarkEnd w:id="0"/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Default="007E5ED1" w:rsidP="007E5ED1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7E5ED1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>Arquiteta</w:t>
      </w:r>
      <w:r w:rsidRPr="00516E3A">
        <w:rPr>
          <w:rFonts w:eastAsia="Times New Roman" w:cs="Calibri"/>
          <w:b/>
          <w:bCs/>
          <w:i/>
          <w:u w:val="single"/>
        </w:rPr>
        <w:t xml:space="preserve"> e Urbanista </w:t>
      </w:r>
      <w:r>
        <w:rPr>
          <w:rFonts w:eastAsia="Times New Roman" w:cs="Calibri"/>
          <w:b/>
          <w:bCs/>
          <w:i/>
          <w:u w:val="single"/>
        </w:rPr>
        <w:t>Neila Janes Viana Vieira</w:t>
      </w:r>
    </w:p>
    <w:p w:rsidR="007E5ED1" w:rsidRPr="007E5ED1" w:rsidRDefault="007E5ED1" w:rsidP="007E5ED1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Cs/>
          <w:sz w:val="16"/>
          <w:szCs w:val="14"/>
        </w:rPr>
        <w:t xml:space="preserve">PRESIDENTE </w:t>
      </w:r>
      <w:r>
        <w:rPr>
          <w:rFonts w:eastAsia="Times New Roman" w:cs="Calibri"/>
          <w:bCs/>
          <w:sz w:val="16"/>
          <w:szCs w:val="14"/>
        </w:rPr>
        <w:t xml:space="preserve">EM EXERCÍCIO </w:t>
      </w:r>
      <w:r w:rsidRPr="00516E3A">
        <w:rPr>
          <w:rFonts w:eastAsia="Times New Roman" w:cs="Calibri"/>
          <w:bCs/>
          <w:sz w:val="16"/>
          <w:szCs w:val="14"/>
        </w:rPr>
        <w:t>DO CONSELHO DE ARQUITETURA E URBANISMO</w:t>
      </w:r>
    </w:p>
    <w:p w:rsidR="007E5ED1" w:rsidRPr="004309AD" w:rsidRDefault="007E5ED1" w:rsidP="00DA18A4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7E5ED1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5B" w:rsidRDefault="00EF105B" w:rsidP="005B0D38">
      <w:pPr>
        <w:spacing w:after="0" w:line="240" w:lineRule="auto"/>
      </w:pPr>
      <w:r>
        <w:separator/>
      </w:r>
    </w:p>
  </w:endnote>
  <w:endnote w:type="continuationSeparator" w:id="0">
    <w:p w:rsidR="00EF105B" w:rsidRDefault="00EF105B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5B" w:rsidRDefault="00EF105B" w:rsidP="005B0D38">
      <w:pPr>
        <w:spacing w:after="0" w:line="240" w:lineRule="auto"/>
      </w:pPr>
      <w:r>
        <w:separator/>
      </w:r>
    </w:p>
  </w:footnote>
  <w:footnote w:type="continuationSeparator" w:id="0">
    <w:p w:rsidR="00EF105B" w:rsidRDefault="00EF105B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065B38"/>
    <w:rsid w:val="002659A1"/>
    <w:rsid w:val="002D5328"/>
    <w:rsid w:val="003A314A"/>
    <w:rsid w:val="004309AD"/>
    <w:rsid w:val="00431CE7"/>
    <w:rsid w:val="0048669A"/>
    <w:rsid w:val="00494FC4"/>
    <w:rsid w:val="004E6163"/>
    <w:rsid w:val="00516E3A"/>
    <w:rsid w:val="005B0D38"/>
    <w:rsid w:val="00725CBB"/>
    <w:rsid w:val="007A68AC"/>
    <w:rsid w:val="007E19FF"/>
    <w:rsid w:val="007E5ED1"/>
    <w:rsid w:val="007F132D"/>
    <w:rsid w:val="00806C0F"/>
    <w:rsid w:val="008951EC"/>
    <w:rsid w:val="009F6E2A"/>
    <w:rsid w:val="00A002D6"/>
    <w:rsid w:val="00A079BC"/>
    <w:rsid w:val="00A47523"/>
    <w:rsid w:val="00AA171E"/>
    <w:rsid w:val="00BA075F"/>
    <w:rsid w:val="00BF0E18"/>
    <w:rsid w:val="00C312F5"/>
    <w:rsid w:val="00C50388"/>
    <w:rsid w:val="00CF5A09"/>
    <w:rsid w:val="00D01447"/>
    <w:rsid w:val="00D76624"/>
    <w:rsid w:val="00DA18A4"/>
    <w:rsid w:val="00DF5DF2"/>
    <w:rsid w:val="00E95E7E"/>
    <w:rsid w:val="00EB5005"/>
    <w:rsid w:val="00EF105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2</cp:revision>
  <cp:lastPrinted>2022-03-18T17:16:00Z</cp:lastPrinted>
  <dcterms:created xsi:type="dcterms:W3CDTF">2022-05-26T16:26:00Z</dcterms:created>
  <dcterms:modified xsi:type="dcterms:W3CDTF">2022-05-26T16:26:00Z</dcterms:modified>
</cp:coreProperties>
</file>