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48669A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9F6E2A">
              <w:rPr>
                <w:rFonts w:ascii="Times New Roman" w:eastAsia="Times New Roman" w:hAnsi="Times New Roman"/>
                <w:b/>
                <w:bCs/>
              </w:rPr>
              <w:t>33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7A68AC" w:rsidRPr="007A68AC" w:rsidRDefault="00516E3A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9F6E2A">
        <w:rPr>
          <w:rFonts w:ascii="Times New Roman" w:hAnsi="Times New Roman"/>
        </w:rPr>
        <w:t>Fernanda Bagagi Joaquim</w:t>
      </w:r>
      <w:r w:rsidR="00431CE7">
        <w:rPr>
          <w:rFonts w:ascii="Times New Roman" w:hAnsi="Times New Roman"/>
        </w:rPr>
        <w:t xml:space="preserve"> </w:t>
      </w:r>
      <w:r w:rsidR="00AA171E">
        <w:rPr>
          <w:rFonts w:ascii="Times New Roman" w:hAnsi="Times New Roman"/>
        </w:rPr>
        <w:t>que necessita do</w:t>
      </w:r>
      <w:r w:rsidR="00725CBB">
        <w:rPr>
          <w:rFonts w:ascii="Times New Roman" w:hAnsi="Times New Roman"/>
        </w:rPr>
        <w:t xml:space="preserve"> registro em razão de trabalho (</w:t>
      </w:r>
      <w:r w:rsidR="00AA171E">
        <w:rPr>
          <w:rFonts w:ascii="Times New Roman" w:hAnsi="Times New Roman"/>
        </w:rPr>
        <w:t>anexo)</w:t>
      </w:r>
      <w:r w:rsidR="007A68AC" w:rsidRPr="007A68AC">
        <w:rPr>
          <w:rFonts w:ascii="Times New Roman" w:hAnsi="Times New Roman"/>
        </w:rPr>
        <w:t>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</w:t>
      </w:r>
      <w:r w:rsidR="0048669A">
        <w:rPr>
          <w:rFonts w:ascii="Times New Roman" w:hAnsi="Times New Roman"/>
        </w:rPr>
        <w:t xml:space="preserve">de </w:t>
      </w:r>
      <w:r w:rsidR="009F6E2A" w:rsidRPr="009F6E2A">
        <w:rPr>
          <w:rFonts w:ascii="Times New Roman" w:hAnsi="Times New Roman"/>
          <w:b/>
        </w:rPr>
        <w:t>Fernanda Bagagi Joaquim</w:t>
      </w:r>
      <w:r w:rsidR="009F6E2A">
        <w:rPr>
          <w:rFonts w:ascii="Times New Roman" w:hAnsi="Times New Roman"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9F6E2A">
        <w:rPr>
          <w:rFonts w:ascii="Times New Roman" w:hAnsi="Times New Roman"/>
          <w:b/>
        </w:rPr>
        <w:t>1474417</w:t>
      </w:r>
      <w:r w:rsidR="004E6163">
        <w:rPr>
          <w:rFonts w:ascii="Times New Roman" w:hAnsi="Times New Roman"/>
          <w:b/>
        </w:rPr>
        <w:t>/2022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bookmarkStart w:id="0" w:name="_GoBack"/>
      <w:bookmarkEnd w:id="0"/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9F6E2A">
        <w:rPr>
          <w:rFonts w:ascii="Times New Roman" w:eastAsia="Times New Roman" w:hAnsi="Times New Roman"/>
          <w:bCs/>
        </w:rPr>
        <w:t>05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9F6E2A">
        <w:rPr>
          <w:rFonts w:ascii="Times New Roman" w:eastAsia="Times New Roman" w:hAnsi="Times New Roman"/>
          <w:bCs/>
        </w:rPr>
        <w:t>abril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659A1"/>
    <w:rsid w:val="002D5328"/>
    <w:rsid w:val="003A314A"/>
    <w:rsid w:val="004309AD"/>
    <w:rsid w:val="00431CE7"/>
    <w:rsid w:val="0048669A"/>
    <w:rsid w:val="00494FC4"/>
    <w:rsid w:val="004E6163"/>
    <w:rsid w:val="00516E3A"/>
    <w:rsid w:val="005B0D38"/>
    <w:rsid w:val="00725CBB"/>
    <w:rsid w:val="007A68AC"/>
    <w:rsid w:val="007E19FF"/>
    <w:rsid w:val="007F132D"/>
    <w:rsid w:val="00806C0F"/>
    <w:rsid w:val="009F6E2A"/>
    <w:rsid w:val="00A002D6"/>
    <w:rsid w:val="00A079BC"/>
    <w:rsid w:val="00A47523"/>
    <w:rsid w:val="00AA171E"/>
    <w:rsid w:val="00C312F5"/>
    <w:rsid w:val="00C50388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9</cp:revision>
  <cp:lastPrinted>2022-03-18T17:16:00Z</cp:lastPrinted>
  <dcterms:created xsi:type="dcterms:W3CDTF">2022-01-14T16:33:00Z</dcterms:created>
  <dcterms:modified xsi:type="dcterms:W3CDTF">2022-04-05T19:53:00Z</dcterms:modified>
</cp:coreProperties>
</file>