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4E6163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4E6163">
              <w:rPr>
                <w:rFonts w:ascii="Times New Roman" w:eastAsia="Times New Roman" w:hAnsi="Times New Roman"/>
                <w:b/>
                <w:bCs/>
              </w:rPr>
              <w:t>24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Default="00516E3A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4E6163">
        <w:rPr>
          <w:rFonts w:ascii="Times New Roman" w:hAnsi="Times New Roman"/>
        </w:rPr>
        <w:t>Beatriz Tavares Poussan</w:t>
      </w:r>
      <w:r w:rsidR="007A68AC" w:rsidRPr="007A68AC">
        <w:rPr>
          <w:rFonts w:ascii="Times New Roman" w:hAnsi="Times New Roman"/>
        </w:rPr>
        <w:t>.</w:t>
      </w:r>
    </w:p>
    <w:p w:rsidR="007A68AC" w:rsidRPr="007A68AC" w:rsidRDefault="007A68AC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4E6163" w:rsidRPr="004E6163">
        <w:rPr>
          <w:rFonts w:ascii="Times New Roman" w:hAnsi="Times New Roman"/>
          <w:b/>
        </w:rPr>
        <w:t>Beatriz Tavares Poussan</w:t>
      </w:r>
      <w:r w:rsidR="004E6163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4E6163">
        <w:rPr>
          <w:rFonts w:ascii="Times New Roman" w:hAnsi="Times New Roman"/>
          <w:b/>
        </w:rPr>
        <w:t>1449431/2022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E6163">
        <w:rPr>
          <w:rFonts w:ascii="Times New Roman" w:eastAsia="Times New Roman" w:hAnsi="Times New Roman"/>
          <w:bCs/>
        </w:rPr>
        <w:t>12 de jane</w:t>
      </w:r>
      <w:r w:rsidR="00DF5DF2">
        <w:rPr>
          <w:rFonts w:ascii="Times New Roman" w:eastAsia="Times New Roman" w:hAnsi="Times New Roman"/>
          <w:bCs/>
        </w:rPr>
        <w:t>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bookmarkStart w:id="0" w:name="_GoBack"/>
      <w:bookmarkEnd w:id="0"/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4E6163"/>
    <w:rsid w:val="00516E3A"/>
    <w:rsid w:val="005B0D38"/>
    <w:rsid w:val="007A68AC"/>
    <w:rsid w:val="00806C0F"/>
    <w:rsid w:val="00A002D6"/>
    <w:rsid w:val="00A079BC"/>
    <w:rsid w:val="00A47523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eventos</cp:lastModifiedBy>
  <cp:revision>2</cp:revision>
  <cp:lastPrinted>2021-02-25T16:58:00Z</cp:lastPrinted>
  <dcterms:created xsi:type="dcterms:W3CDTF">2022-01-12T16:58:00Z</dcterms:created>
  <dcterms:modified xsi:type="dcterms:W3CDTF">2022-01-12T16:58:00Z</dcterms:modified>
</cp:coreProperties>
</file>