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Informações</w:t>
      </w:r>
      <w:r>
        <w:rPr>
          <w:spacing w:val="-6"/>
        </w:rPr>
        <w:t> </w:t>
      </w:r>
      <w:r>
        <w:rPr/>
        <w:t>Contábeis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2023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CAUMS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2432"/>
        <w:gridCol w:w="411"/>
        <w:gridCol w:w="1177"/>
        <w:gridCol w:w="2297"/>
      </w:tblGrid>
      <w:tr>
        <w:trPr>
          <w:trHeight w:val="447" w:hRule="atLeast"/>
        </w:trPr>
        <w:tc>
          <w:tcPr>
            <w:tcW w:w="9359" w:type="dxa"/>
            <w:gridSpan w:val="5"/>
          </w:tcPr>
          <w:p>
            <w:pPr>
              <w:pStyle w:val="TableParagraph"/>
              <w:spacing w:line="243" w:lineRule="exact" w:before="18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Execução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Orçamentária</w:t>
            </w:r>
          </w:p>
        </w:tc>
      </w:tr>
      <w:tr>
        <w:trPr>
          <w:trHeight w:val="750" w:hRule="atLeast"/>
        </w:trPr>
        <w:tc>
          <w:tcPr>
            <w:tcW w:w="9359" w:type="dxa"/>
            <w:gridSpan w:val="5"/>
          </w:tcPr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Execução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Orçamento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Despesa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Resultado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Orçamentário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1328" w:right="1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2432" w:type="dxa"/>
          </w:tcPr>
          <w:p>
            <w:pPr>
              <w:pStyle w:val="TableParagraph"/>
              <w:ind w:left="771"/>
              <w:rPr>
                <w:b/>
                <w:sz w:val="22"/>
              </w:rPr>
            </w:pPr>
            <w:r>
              <w:rPr>
                <w:b/>
                <w:sz w:val="22"/>
              </w:rPr>
              <w:t>Correntes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476"/>
              <w:rPr>
                <w:b/>
                <w:sz w:val="22"/>
              </w:rPr>
            </w:pPr>
            <w:r>
              <w:rPr>
                <w:b/>
                <w:sz w:val="22"/>
              </w:rPr>
              <w:t>Capital</w:t>
            </w:r>
          </w:p>
        </w:tc>
        <w:tc>
          <w:tcPr>
            <w:tcW w:w="2297" w:type="dxa"/>
          </w:tcPr>
          <w:p>
            <w:pPr>
              <w:pStyle w:val="TableParagraph"/>
              <w:ind w:left="856" w:right="7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Receita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Orçada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4.030.379,02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518"/>
              <w:rPr>
                <w:sz w:val="22"/>
              </w:rPr>
            </w:pPr>
            <w:r>
              <w:rPr>
                <w:sz w:val="22"/>
              </w:rPr>
              <w:t>810.486,13</w:t>
            </w:r>
          </w:p>
        </w:tc>
        <w:tc>
          <w:tcPr>
            <w:tcW w:w="2297" w:type="dxa"/>
          </w:tcPr>
          <w:p>
            <w:pPr>
              <w:pStyle w:val="TableParagraph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4.840.865,15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Receita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Arrecadada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4.069.621,90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97" w:type="dxa"/>
          </w:tcPr>
          <w:p>
            <w:pPr>
              <w:pStyle w:val="TableParagraph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4.069.621,90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Percentual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Arrecadado</w:t>
            </w:r>
          </w:p>
        </w:tc>
        <w:tc>
          <w:tcPr>
            <w:tcW w:w="2432" w:type="dxa"/>
          </w:tcPr>
          <w:p>
            <w:pPr>
              <w:pStyle w:val="TableParagraph"/>
              <w:ind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100,97%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Despesa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Orçada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4.660.379,02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518"/>
              <w:rPr>
                <w:sz w:val="22"/>
              </w:rPr>
            </w:pPr>
            <w:r>
              <w:rPr>
                <w:sz w:val="22"/>
              </w:rPr>
              <w:t>180.486,13</w:t>
            </w:r>
          </w:p>
        </w:tc>
        <w:tc>
          <w:tcPr>
            <w:tcW w:w="2297" w:type="dxa"/>
          </w:tcPr>
          <w:p>
            <w:pPr>
              <w:pStyle w:val="TableParagraph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4.840.865,15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Despesa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Empenhada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3.324.892,78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518"/>
              <w:rPr>
                <w:sz w:val="22"/>
              </w:rPr>
            </w:pPr>
            <w:r>
              <w:rPr>
                <w:sz w:val="22"/>
              </w:rPr>
              <w:t>121.856,63</w:t>
            </w:r>
          </w:p>
        </w:tc>
        <w:tc>
          <w:tcPr>
            <w:tcW w:w="2297" w:type="dxa"/>
          </w:tcPr>
          <w:p>
            <w:pPr>
              <w:pStyle w:val="TableParagraph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3.446.749,41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Percentual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Realizado</w:t>
            </w:r>
          </w:p>
        </w:tc>
        <w:tc>
          <w:tcPr>
            <w:tcW w:w="2432" w:type="dxa"/>
          </w:tcPr>
          <w:p>
            <w:pPr>
              <w:pStyle w:val="TableParagraph"/>
              <w:ind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71,34%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856"/>
              <w:rPr>
                <w:b/>
                <w:sz w:val="22"/>
              </w:rPr>
            </w:pPr>
            <w:r>
              <w:rPr>
                <w:b/>
                <w:sz w:val="22"/>
              </w:rPr>
              <w:t>67,52%</w:t>
            </w:r>
          </w:p>
        </w:tc>
        <w:tc>
          <w:tcPr>
            <w:tcW w:w="2297" w:type="dxa"/>
          </w:tcPr>
          <w:p>
            <w:pPr>
              <w:pStyle w:val="TableParagraph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71,20%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Reserva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Contingência</w:t>
            </w:r>
          </w:p>
        </w:tc>
        <w:tc>
          <w:tcPr>
            <w:tcW w:w="2432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121"/>
              <w:rPr>
                <w:b/>
                <w:sz w:val="22"/>
              </w:rPr>
            </w:pPr>
            <w:r>
              <w:rPr>
                <w:b/>
                <w:color w:val="00AFEF"/>
                <w:spacing w:val="-1"/>
                <w:sz w:val="22"/>
              </w:rPr>
              <w:t>Superávit</w:t>
            </w:r>
            <w:r>
              <w:rPr>
                <w:b/>
                <w:color w:val="00AFEF"/>
                <w:spacing w:val="-10"/>
                <w:sz w:val="22"/>
              </w:rPr>
              <w:t> </w:t>
            </w:r>
            <w:r>
              <w:rPr>
                <w:b/>
                <w:color w:val="00AFEF"/>
                <w:sz w:val="22"/>
              </w:rPr>
              <w:t>Orçamentário</w:t>
            </w:r>
          </w:p>
        </w:tc>
        <w:tc>
          <w:tcPr>
            <w:tcW w:w="2432" w:type="dxa"/>
          </w:tcPr>
          <w:p>
            <w:pPr>
              <w:pStyle w:val="TableParagraph"/>
              <w:ind w:right="63"/>
              <w:jc w:val="right"/>
              <w:rPr>
                <w:b/>
                <w:sz w:val="22"/>
              </w:rPr>
            </w:pPr>
            <w:r>
              <w:rPr>
                <w:b/>
                <w:color w:val="00AFEF"/>
                <w:sz w:val="22"/>
              </w:rPr>
              <w:t>622.872,49</w:t>
            </w:r>
          </w:p>
        </w:tc>
        <w:tc>
          <w:tcPr>
            <w:tcW w:w="3885" w:type="dxa"/>
            <w:gridSpan w:val="3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ind w:left="121"/>
              <w:rPr>
                <w:b/>
                <w:sz w:val="22"/>
              </w:rPr>
            </w:pPr>
            <w:r>
              <w:rPr>
                <w:b/>
                <w:color w:val="00AF4F"/>
                <w:sz w:val="22"/>
              </w:rPr>
              <w:t>Superávit</w:t>
            </w:r>
            <w:r>
              <w:rPr>
                <w:b/>
                <w:color w:val="00AF4F"/>
                <w:spacing w:val="-9"/>
                <w:sz w:val="22"/>
              </w:rPr>
              <w:t> </w:t>
            </w:r>
            <w:r>
              <w:rPr>
                <w:b/>
                <w:color w:val="00AF4F"/>
                <w:sz w:val="22"/>
              </w:rPr>
              <w:t>Primário</w:t>
            </w:r>
          </w:p>
        </w:tc>
        <w:tc>
          <w:tcPr>
            <w:tcW w:w="2432" w:type="dxa"/>
          </w:tcPr>
          <w:p>
            <w:pPr>
              <w:pStyle w:val="TableParagraph"/>
              <w:ind w:right="63"/>
              <w:jc w:val="right"/>
              <w:rPr>
                <w:b/>
                <w:sz w:val="22"/>
              </w:rPr>
            </w:pPr>
            <w:r>
              <w:rPr>
                <w:b/>
                <w:color w:val="00AF4F"/>
                <w:sz w:val="22"/>
              </w:rPr>
              <w:t>744.729,12</w:t>
            </w:r>
          </w:p>
        </w:tc>
        <w:tc>
          <w:tcPr>
            <w:tcW w:w="3885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935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1" w:lineRule="exact" w:before="184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Resultado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Financeiro</w:t>
            </w:r>
          </w:p>
        </w:tc>
      </w:tr>
      <w:tr>
        <w:trPr>
          <w:trHeight w:val="447" w:hRule="atLeast"/>
        </w:trPr>
        <w:tc>
          <w:tcPr>
            <w:tcW w:w="588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82"/>
              <w:ind w:left="121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Disponível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82"/>
              <w:ind w:left="2235"/>
              <w:rPr>
                <w:sz w:val="22"/>
              </w:rPr>
            </w:pPr>
            <w:r>
              <w:rPr>
                <w:sz w:val="22"/>
              </w:rPr>
              <w:t>3.073.978,10</w:t>
            </w:r>
          </w:p>
        </w:tc>
      </w:tr>
      <w:tr>
        <w:trPr>
          <w:trHeight w:val="448" w:hRule="atLeast"/>
        </w:trPr>
        <w:tc>
          <w:tcPr>
            <w:tcW w:w="5885" w:type="dxa"/>
            <w:gridSpan w:val="3"/>
          </w:tcPr>
          <w:p>
            <w:pPr>
              <w:pStyle w:val="TableParagraph"/>
              <w:spacing w:line="243" w:lineRule="exact" w:before="184"/>
              <w:ind w:left="121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Passivo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Circulante</w:t>
            </w:r>
          </w:p>
        </w:tc>
        <w:tc>
          <w:tcPr>
            <w:tcW w:w="3474" w:type="dxa"/>
            <w:gridSpan w:val="2"/>
          </w:tcPr>
          <w:p>
            <w:pPr>
              <w:pStyle w:val="TableParagraph"/>
              <w:spacing w:line="243" w:lineRule="exact" w:before="184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688.698,35</w:t>
            </w:r>
          </w:p>
        </w:tc>
      </w:tr>
      <w:tr>
        <w:trPr>
          <w:trHeight w:val="450" w:hRule="atLeast"/>
        </w:trPr>
        <w:tc>
          <w:tcPr>
            <w:tcW w:w="5885" w:type="dxa"/>
            <w:gridSpan w:val="3"/>
          </w:tcPr>
          <w:p>
            <w:pPr>
              <w:pStyle w:val="TableParagraph"/>
              <w:spacing w:before="184"/>
              <w:ind w:left="121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Processado</w:t>
            </w:r>
          </w:p>
        </w:tc>
        <w:tc>
          <w:tcPr>
            <w:tcW w:w="3474" w:type="dxa"/>
            <w:gridSpan w:val="2"/>
          </w:tcPr>
          <w:p>
            <w:pPr>
              <w:pStyle w:val="TableParagraph"/>
              <w:spacing w:before="184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447" w:hRule="atLeast"/>
        </w:trPr>
        <w:tc>
          <w:tcPr>
            <w:tcW w:w="5885" w:type="dxa"/>
            <w:gridSpan w:val="3"/>
          </w:tcPr>
          <w:p>
            <w:pPr>
              <w:pStyle w:val="TableParagraph"/>
              <w:spacing w:line="243" w:lineRule="exact" w:before="184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(=)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Superávit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Financeiro</w:t>
            </w:r>
          </w:p>
        </w:tc>
        <w:tc>
          <w:tcPr>
            <w:tcW w:w="3474" w:type="dxa"/>
            <w:gridSpan w:val="2"/>
          </w:tcPr>
          <w:p>
            <w:pPr>
              <w:pStyle w:val="TableParagraph"/>
              <w:spacing w:line="243" w:lineRule="exact" w:before="184"/>
              <w:ind w:left="2225"/>
              <w:rPr>
                <w:b/>
                <w:sz w:val="22"/>
              </w:rPr>
            </w:pPr>
            <w:r>
              <w:rPr>
                <w:b/>
                <w:sz w:val="22"/>
              </w:rPr>
              <w:t>2.385.279,75</w:t>
            </w:r>
          </w:p>
        </w:tc>
      </w:tr>
    </w:tbl>
    <w:p>
      <w:pPr>
        <w:pStyle w:val="Heading1"/>
        <w:spacing w:line="259" w:lineRule="auto" w:before="245"/>
      </w:pPr>
      <w:r>
        <w:rPr/>
        <w:t>O</w:t>
      </w:r>
      <w:r>
        <w:rPr>
          <w:spacing w:val="45"/>
        </w:rPr>
        <w:t> </w:t>
      </w:r>
      <w:r>
        <w:rPr/>
        <w:t>saldo</w:t>
      </w:r>
      <w:r>
        <w:rPr>
          <w:spacing w:val="46"/>
        </w:rPr>
        <w:t> </w:t>
      </w:r>
      <w:r>
        <w:rPr/>
        <w:t>disponível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passou</w:t>
      </w:r>
      <w:r>
        <w:rPr>
          <w:spacing w:val="46"/>
        </w:rPr>
        <w:t> </w:t>
      </w:r>
      <w:r>
        <w:rPr/>
        <w:t>para</w:t>
      </w:r>
      <w:r>
        <w:rPr>
          <w:spacing w:val="45"/>
        </w:rPr>
        <w:t> </w:t>
      </w:r>
      <w:r>
        <w:rPr/>
        <w:t>2024</w:t>
      </w:r>
      <w:r>
        <w:rPr>
          <w:spacing w:val="47"/>
        </w:rPr>
        <w:t> </w:t>
      </w:r>
      <w:r>
        <w:rPr/>
        <w:t>foi</w:t>
      </w:r>
      <w:r>
        <w:rPr>
          <w:spacing w:val="47"/>
        </w:rPr>
        <w:t> </w:t>
      </w:r>
      <w:r>
        <w:rPr/>
        <w:t>de</w:t>
      </w:r>
      <w:r>
        <w:rPr>
          <w:spacing w:val="55"/>
        </w:rPr>
        <w:t> </w:t>
      </w:r>
      <w:r>
        <w:rPr>
          <w:b/>
        </w:rPr>
        <w:t>R$</w:t>
      </w:r>
      <w:r>
        <w:rPr>
          <w:b/>
          <w:spacing w:val="47"/>
        </w:rPr>
        <w:t> </w:t>
      </w:r>
      <w:r>
        <w:rPr>
          <w:b/>
        </w:rPr>
        <w:t>3.073.978,10</w:t>
      </w:r>
      <w:r>
        <w:rPr>
          <w:b/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está</w:t>
      </w:r>
      <w:r>
        <w:rPr>
          <w:spacing w:val="-52"/>
        </w:rPr>
        <w:t> </w:t>
      </w:r>
      <w:r>
        <w:rPr/>
        <w:t>demonstrado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Balanço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mês de</w:t>
      </w:r>
      <w:r>
        <w:rPr>
          <w:spacing w:val="-1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 2023.</w:t>
      </w:r>
    </w:p>
    <w:p>
      <w:pPr>
        <w:spacing w:line="259" w:lineRule="auto" w:before="159"/>
        <w:ind w:left="115" w:right="0" w:firstLine="708"/>
        <w:jc w:val="left"/>
        <w:rPr>
          <w:sz w:val="24"/>
        </w:rPr>
      </w:pPr>
      <w:r>
        <w:rPr>
          <w:sz w:val="24"/>
        </w:rPr>
        <w:t>Após</w:t>
      </w:r>
      <w:r>
        <w:rPr>
          <w:spacing w:val="14"/>
          <w:sz w:val="24"/>
        </w:rPr>
        <w:t> </w:t>
      </w:r>
      <w:r>
        <w:rPr>
          <w:sz w:val="24"/>
        </w:rPr>
        <w:t>análise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Balanço</w:t>
      </w:r>
      <w:r>
        <w:rPr>
          <w:spacing w:val="13"/>
          <w:sz w:val="24"/>
        </w:rPr>
        <w:t> </w:t>
      </w:r>
      <w:r>
        <w:rPr>
          <w:sz w:val="24"/>
        </w:rPr>
        <w:t>Patrimonial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2023,</w:t>
      </w:r>
      <w:r>
        <w:rPr>
          <w:spacing w:val="14"/>
          <w:sz w:val="24"/>
        </w:rPr>
        <w:t> </w:t>
      </w:r>
      <w:r>
        <w:rPr>
          <w:sz w:val="24"/>
        </w:rPr>
        <w:t>verificou-se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CAUMS</w:t>
      </w:r>
      <w:r>
        <w:rPr>
          <w:spacing w:val="14"/>
          <w:sz w:val="24"/>
        </w:rPr>
        <w:t> </w:t>
      </w:r>
      <w:r>
        <w:rPr>
          <w:sz w:val="24"/>
        </w:rPr>
        <w:t>apurou</w:t>
      </w:r>
      <w:r>
        <w:rPr>
          <w:spacing w:val="14"/>
          <w:sz w:val="24"/>
        </w:rPr>
        <w:t> </w:t>
      </w:r>
      <w:r>
        <w:rPr>
          <w:sz w:val="24"/>
        </w:rPr>
        <w:t>um</w:t>
      </w:r>
      <w:r>
        <w:rPr>
          <w:spacing w:val="-51"/>
          <w:sz w:val="24"/>
        </w:rPr>
        <w:t> </w:t>
      </w:r>
      <w:r>
        <w:rPr>
          <w:sz w:val="24"/>
        </w:rPr>
        <w:t>Superávit Financeiro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2.385.279,75</w:t>
      </w:r>
      <w:r>
        <w:rPr>
          <w:sz w:val="24"/>
        </w:rPr>
        <w:t>.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0"/>
        <w:gridCol w:w="1576"/>
      </w:tblGrid>
      <w:tr>
        <w:trPr>
          <w:trHeight w:val="220" w:hRule="atLeast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0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Resultado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Patrimonial</w:t>
            </w:r>
          </w:p>
        </w:tc>
      </w:tr>
      <w:tr>
        <w:trPr>
          <w:trHeight w:val="268" w:hRule="atLeast"/>
        </w:trPr>
        <w:tc>
          <w:tcPr>
            <w:tcW w:w="7780" w:type="dxa"/>
          </w:tcPr>
          <w:p>
            <w:pPr>
              <w:pStyle w:val="TableParagraph"/>
              <w:spacing w:line="243" w:lineRule="exact" w:before="4"/>
              <w:ind w:left="71"/>
              <w:rPr>
                <w:sz w:val="22"/>
              </w:rPr>
            </w:pPr>
            <w:r>
              <w:rPr>
                <w:sz w:val="22"/>
              </w:rPr>
              <w:t>VPA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4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5.021.984,47</w:t>
            </w:r>
          </w:p>
        </w:tc>
      </w:tr>
      <w:tr>
        <w:trPr>
          <w:trHeight w:val="270" w:hRule="atLeast"/>
        </w:trPr>
        <w:tc>
          <w:tcPr>
            <w:tcW w:w="7780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z w:val="22"/>
              </w:rPr>
              <w:t>VPD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4.053.343,50</w:t>
            </w:r>
          </w:p>
        </w:tc>
      </w:tr>
      <w:tr>
        <w:trPr>
          <w:trHeight w:val="267" w:hRule="atLeast"/>
        </w:trPr>
        <w:tc>
          <w:tcPr>
            <w:tcW w:w="7780" w:type="dxa"/>
          </w:tcPr>
          <w:p>
            <w:pPr>
              <w:pStyle w:val="TableParagraph"/>
              <w:spacing w:line="243" w:lineRule="exact" w:before="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(=)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Superávit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Patrimonial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4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968.640,97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Heading1"/>
        <w:spacing w:line="259" w:lineRule="auto"/>
      </w:pPr>
      <w:r>
        <w:rPr/>
        <w:t>O</w:t>
      </w:r>
      <w:r>
        <w:rPr>
          <w:spacing w:val="6"/>
        </w:rPr>
        <w:t> </w:t>
      </w:r>
      <w:r>
        <w:rPr/>
        <w:t>CAUMS</w:t>
      </w:r>
      <w:r>
        <w:rPr>
          <w:spacing w:val="7"/>
        </w:rPr>
        <w:t> </w:t>
      </w:r>
      <w:r>
        <w:rPr/>
        <w:t>apresentou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2023</w:t>
      </w:r>
      <w:r>
        <w:rPr>
          <w:spacing w:val="8"/>
        </w:rPr>
        <w:t> </w:t>
      </w:r>
      <w:r>
        <w:rPr/>
        <w:t>um</w:t>
      </w:r>
      <w:r>
        <w:rPr>
          <w:spacing w:val="8"/>
        </w:rPr>
        <w:t> </w:t>
      </w:r>
      <w:r>
        <w:rPr/>
        <w:t>Superávit</w:t>
      </w:r>
      <w:r>
        <w:rPr>
          <w:spacing w:val="6"/>
        </w:rPr>
        <w:t> </w:t>
      </w:r>
      <w:r>
        <w:rPr/>
        <w:t>Patrimonial</w:t>
      </w:r>
      <w:r>
        <w:rPr>
          <w:spacing w:val="9"/>
        </w:rPr>
        <w:t> </w:t>
      </w:r>
      <w:r>
        <w:rPr/>
        <w:t>no</w:t>
      </w:r>
      <w:r>
        <w:rPr>
          <w:spacing w:val="7"/>
        </w:rPr>
        <w:t> </w:t>
      </w:r>
      <w:r>
        <w:rPr/>
        <w:t>valor</w:t>
      </w:r>
      <w:r>
        <w:rPr>
          <w:spacing w:val="8"/>
        </w:rPr>
        <w:t> </w:t>
      </w:r>
      <w:r>
        <w:rPr/>
        <w:t>de</w:t>
      </w:r>
      <w:r>
        <w:rPr>
          <w:spacing w:val="21"/>
        </w:rPr>
        <w:t> </w:t>
      </w:r>
      <w:r>
        <w:rPr>
          <w:b/>
        </w:rPr>
        <w:t>R$</w:t>
      </w:r>
      <w:r>
        <w:rPr>
          <w:b/>
          <w:spacing w:val="8"/>
        </w:rPr>
        <w:t> </w:t>
      </w:r>
      <w:r>
        <w:rPr>
          <w:b/>
        </w:rPr>
        <w:t>968.640,97</w:t>
      </w:r>
      <w:r>
        <w:rPr/>
        <w:t>,</w:t>
      </w:r>
      <w:r>
        <w:rPr>
          <w:spacing w:val="-5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demonstrado.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0"/>
        <w:gridCol w:w="1576"/>
      </w:tblGrid>
      <w:tr>
        <w:trPr>
          <w:trHeight w:val="235" w:hRule="atLeast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5" w:lineRule="exact" w:before="0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Comparativo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(arrecadada)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Corrente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3.540.001,62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4.069.621,90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R$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529.620,28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14,96%</w:t>
            </w:r>
          </w:p>
        </w:tc>
      </w:tr>
      <w:tr>
        <w:trPr>
          <w:trHeight w:val="290" w:hRule="atLeast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 w:before="14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Comparativo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Despesa(realizada)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Corrente</w:t>
            </w:r>
          </w:p>
        </w:tc>
      </w:tr>
      <w:tr>
        <w:trPr>
          <w:trHeight w:val="289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2.835.126,71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3.324.892,78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R$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489.766,07</w:t>
            </w:r>
          </w:p>
        </w:tc>
      </w:tr>
    </w:tbl>
    <w:p>
      <w:pPr>
        <w:spacing w:after="0" w:line="243" w:lineRule="exact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98" w:footer="662" w:top="1340" w:bottom="860" w:left="1020" w:right="1300"/>
          <w:pgNumType w:start="1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0"/>
        <w:gridCol w:w="1576"/>
      </w:tblGrid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1576" w:type="dxa"/>
          </w:tcPr>
          <w:p>
            <w:pPr>
              <w:pStyle w:val="TableParagraph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17,27%</w:t>
            </w:r>
          </w:p>
        </w:tc>
      </w:tr>
      <w:tr>
        <w:trPr>
          <w:trHeight w:val="537" w:hRule="atLeast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Gastos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Pessoal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Encargos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à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Arrecadada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Receita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Arrecadada</w:t>
            </w:r>
          </w:p>
        </w:tc>
        <w:tc>
          <w:tcPr>
            <w:tcW w:w="1576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4.069.621,90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sz w:val="22"/>
              </w:rPr>
            </w:pPr>
            <w:r>
              <w:rPr>
                <w:sz w:val="22"/>
              </w:rPr>
              <w:t>Despesa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Pessoal</w:t>
            </w:r>
          </w:p>
        </w:tc>
        <w:tc>
          <w:tcPr>
            <w:tcW w:w="1576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1.839.462,15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spacing w:line="255" w:lineRule="exact" w:before="1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gasto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Arrecadada</w:t>
            </w:r>
          </w:p>
        </w:tc>
        <w:tc>
          <w:tcPr>
            <w:tcW w:w="1576" w:type="dxa"/>
          </w:tcPr>
          <w:p>
            <w:pPr>
              <w:pStyle w:val="TableParagraph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45,20%</w:t>
            </w:r>
          </w:p>
        </w:tc>
      </w:tr>
    </w:tbl>
    <w:p>
      <w:pPr>
        <w:spacing w:line="259" w:lineRule="auto" w:before="15"/>
        <w:ind w:left="115" w:right="442" w:firstLine="0"/>
        <w:jc w:val="both"/>
        <w:rPr>
          <w:i/>
          <w:sz w:val="23"/>
        </w:rPr>
      </w:pPr>
      <w:r>
        <w:rPr>
          <w:i/>
          <w:sz w:val="23"/>
        </w:rPr>
        <w:t>O gasto de pessoal e encargos sociais sobre a receita arrecadada nos últimos 12 (doze) meses foi</w:t>
      </w:r>
      <w:r>
        <w:rPr>
          <w:i/>
          <w:spacing w:val="-49"/>
          <w:sz w:val="23"/>
        </w:rPr>
        <w:t> </w:t>
      </w:r>
      <w:r>
        <w:rPr>
          <w:i/>
          <w:sz w:val="23"/>
        </w:rPr>
        <w:t>de</w:t>
      </w:r>
      <w:r>
        <w:rPr>
          <w:i/>
          <w:spacing w:val="-1"/>
          <w:sz w:val="23"/>
        </w:rPr>
        <w:t> </w:t>
      </w:r>
      <w:r>
        <w:rPr>
          <w:b/>
          <w:i/>
          <w:sz w:val="23"/>
        </w:rPr>
        <w:t>45,2%</w:t>
      </w:r>
      <w:r>
        <w:rPr>
          <w:i/>
          <w:sz w:val="23"/>
        </w:rPr>
        <w:t>.</w:t>
      </w:r>
    </w:p>
    <w:p>
      <w:pPr>
        <w:spacing w:line="259" w:lineRule="auto" w:before="0"/>
        <w:ind w:left="115" w:right="437" w:firstLine="0"/>
        <w:jc w:val="both"/>
        <w:rPr>
          <w:i/>
          <w:sz w:val="22"/>
        </w:rPr>
      </w:pPr>
      <w:r>
        <w:rPr>
          <w:i/>
          <w:sz w:val="22"/>
        </w:rPr>
        <w:t>Para este cálculo, são considerados os valores do mês de referência da análise (dezembro/2023)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somando-se aos 11 meses imediatamente anteriores, conforme utilizado no Art. 18, § 2º, da Lei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Complementar Nº 101 (LRF), de 4 de maio de 2000. Ademais, desconsidera-se as despesas com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benefícios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 pessoal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 com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rescisão.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BodyText"/>
        <w:spacing w:line="259" w:lineRule="auto"/>
        <w:ind w:left="115" w:right="408" w:firstLine="708"/>
        <w:jc w:val="both"/>
      </w:pPr>
      <w:r>
        <w:rPr/>
        <w:t>O presente relatório foi produzido após a análise dos demonstrativos contábeis por meio dos</w:t>
      </w:r>
      <w:r>
        <w:rPr>
          <w:spacing w:val="-47"/>
        </w:rPr>
        <w:t> </w:t>
      </w:r>
      <w:r>
        <w:rPr/>
        <w:t>sistemas Auditoria.Net, SISCONT.Net e SISPAT.Net. Dessa forma, os documentos que geraram as</w:t>
      </w:r>
      <w:r>
        <w:rPr>
          <w:spacing w:val="1"/>
        </w:rPr>
        <w:t> </w:t>
      </w:r>
      <w:r>
        <w:rPr/>
        <w:t>informações contábeis não foram objeto de análise. Portanto, este relatório não exime a necessidade</w:t>
      </w:r>
      <w:r>
        <w:rPr>
          <w:spacing w:val="-48"/>
        </w:rPr>
        <w:t> </w:t>
      </w:r>
      <w:r>
        <w:rPr/>
        <w:t>da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externa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pertinentes,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200,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right="397"/>
        <w:jc w:val="right"/>
      </w:pPr>
      <w:r>
        <w:rPr/>
        <w:t>Brasília,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-3"/>
        </w:rPr>
        <w:t> </w:t>
      </w:r>
      <w:r>
        <w:rPr/>
        <w:t>de 2024.</w:t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2533014</wp:posOffset>
            </wp:positionH>
            <wp:positionV relativeFrom="paragraph">
              <wp:posOffset>183154</wp:posOffset>
            </wp:positionV>
            <wp:extent cx="1774676" cy="380523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676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2325" w:right="2609"/>
        <w:jc w:val="center"/>
      </w:pPr>
      <w:r>
        <w:rPr/>
        <w:t>ALCIRAN</w:t>
      </w:r>
      <w:r>
        <w:rPr>
          <w:spacing w:val="-5"/>
        </w:rPr>
        <w:t> </w:t>
      </w:r>
      <w:r>
        <w:rPr/>
        <w:t>COELHO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SOUSA</w:t>
      </w:r>
      <w:r>
        <w:rPr>
          <w:spacing w:val="-6"/>
        </w:rPr>
        <w:t> </w:t>
      </w:r>
      <w:r>
        <w:rPr/>
        <w:t>JUNIOR</w:t>
      </w:r>
    </w:p>
    <w:p>
      <w:pPr>
        <w:pStyle w:val="BodyText"/>
        <w:spacing w:line="259" w:lineRule="auto" w:before="21"/>
        <w:ind w:left="350" w:right="645"/>
        <w:jc w:val="center"/>
      </w:pPr>
      <w:hyperlink r:id="rId8">
        <w:r>
          <w:rPr>
            <w:color w:val="0462C0"/>
            <w:u w:val="single" w:color="0462C0"/>
          </w:rPr>
          <w:t>CONTADOR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(EM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SUBSTITUIÇÃO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-</w:t>
        </w:r>
        <w:r>
          <w:rPr>
            <w:color w:val="0462C0"/>
            <w:spacing w:val="-8"/>
            <w:u w:val="single" w:color="0462C0"/>
          </w:rPr>
          <w:t> </w:t>
        </w:r>
        <w:r>
          <w:rPr>
            <w:color w:val="0462C0"/>
            <w:u w:val="single" w:color="0462C0"/>
          </w:rPr>
          <w:t>PORTARIA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GERENCIAL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CAU/BR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N°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186,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DE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06</w:t>
        </w:r>
        <w:r>
          <w:rPr>
            <w:color w:val="0462C0"/>
            <w:spacing w:val="-8"/>
            <w:u w:val="single" w:color="0462C0"/>
          </w:rPr>
          <w:t> </w:t>
        </w:r>
        <w:r>
          <w:rPr>
            <w:color w:val="0462C0"/>
            <w:u w:val="single" w:color="0462C0"/>
          </w:rPr>
          <w:t>DE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DEZEMBRO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DE</w:t>
        </w:r>
      </w:hyperlink>
      <w:r>
        <w:rPr>
          <w:color w:val="0462C0"/>
          <w:spacing w:val="-46"/>
        </w:rPr>
        <w:t> </w:t>
      </w:r>
      <w:hyperlink r:id="rId8">
        <w:r>
          <w:rPr>
            <w:color w:val="0462C0"/>
            <w:u w:val="single" w:color="0462C0"/>
          </w:rPr>
          <w:t>2023)</w:t>
        </w:r>
      </w:hyperlink>
    </w:p>
    <w:p>
      <w:pPr>
        <w:pStyle w:val="BodyText"/>
        <w:ind w:left="350" w:right="635"/>
        <w:jc w:val="center"/>
      </w:pPr>
      <w:r>
        <w:rPr/>
        <w:t>NÚCLEO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CONTABILIDADE</w:t>
      </w:r>
    </w:p>
    <w:p>
      <w:pPr>
        <w:pStyle w:val="BodyText"/>
        <w:spacing w:before="22"/>
        <w:ind w:left="350" w:right="635"/>
        <w:jc w:val="center"/>
      </w:pPr>
      <w:r>
        <w:rPr/>
        <w:t>GERÊNCIA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ORÇAMENTO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FINANÇAS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CAUBR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GERFIN</w:t>
      </w:r>
    </w:p>
    <w:sectPr>
      <w:pgSz w:w="11910" w:h="16840"/>
      <w:pgMar w:header="98" w:footer="662" w:top="1340" w:bottom="86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8672">
          <wp:simplePos x="0" y="0"/>
          <wp:positionH relativeFrom="page">
            <wp:posOffset>919480</wp:posOffset>
          </wp:positionH>
          <wp:positionV relativeFrom="page">
            <wp:posOffset>10144756</wp:posOffset>
          </wp:positionV>
          <wp:extent cx="5759450" cy="34019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340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8160">
          <wp:simplePos x="0" y="0"/>
          <wp:positionH relativeFrom="page">
            <wp:posOffset>810247</wp:posOffset>
          </wp:positionH>
          <wp:positionV relativeFrom="page">
            <wp:posOffset>62478</wp:posOffset>
          </wp:positionV>
          <wp:extent cx="5759450" cy="661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6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5" w:firstLine="708"/>
      <w:outlineLvl w:val="1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2325" w:right="2609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 w:line="245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https://transparencia.caubr.gov.br/portariagerencial-23-186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Alciran Coelho de Sousa Junior</dc:creator>
  <dcterms:created xsi:type="dcterms:W3CDTF">2024-03-27T16:34:26Z</dcterms:created>
  <dcterms:modified xsi:type="dcterms:W3CDTF">2024-03-27T16:34:26Z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2024-01-30T00:00:00Z</vt:filetime>
  </property>
</Properties>
</file>