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Informações</w:t>
      </w:r>
      <w:r>
        <w:rPr>
          <w:spacing w:val="-5"/>
        </w:rPr>
        <w:t> </w:t>
      </w:r>
      <w:r>
        <w:rPr/>
        <w:t>Contábeis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3º</w:t>
      </w:r>
      <w:r>
        <w:rPr>
          <w:spacing w:val="-5"/>
        </w:rPr>
        <w:t> </w:t>
      </w:r>
      <w:r>
        <w:rPr/>
        <w:t>TRIM</w:t>
      </w:r>
      <w:r>
        <w:rPr>
          <w:spacing w:val="-5"/>
        </w:rPr>
        <w:t> </w:t>
      </w:r>
      <w:r>
        <w:rPr/>
        <w:t>2023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CAUMS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2432"/>
        <w:gridCol w:w="411"/>
        <w:gridCol w:w="1177"/>
        <w:gridCol w:w="2297"/>
      </w:tblGrid>
      <w:tr>
        <w:trPr>
          <w:trHeight w:val="447" w:hRule="atLeast"/>
        </w:trPr>
        <w:tc>
          <w:tcPr>
            <w:tcW w:w="9359" w:type="dxa"/>
            <w:gridSpan w:val="5"/>
          </w:tcPr>
          <w:p>
            <w:pPr>
              <w:pStyle w:val="TableParagraph"/>
              <w:spacing w:line="243" w:lineRule="exact" w:before="18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</w:p>
        </w:tc>
      </w:tr>
      <w:tr>
        <w:trPr>
          <w:trHeight w:val="750" w:hRule="atLeast"/>
        </w:trPr>
        <w:tc>
          <w:tcPr>
            <w:tcW w:w="9359" w:type="dxa"/>
            <w:gridSpan w:val="5"/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Execução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Orçamentário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328" w:right="1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2432" w:type="dxa"/>
          </w:tcPr>
          <w:p>
            <w:pPr>
              <w:pStyle w:val="TableParagraph"/>
              <w:ind w:left="771"/>
              <w:rPr>
                <w:b/>
                <w:sz w:val="22"/>
              </w:rPr>
            </w:pPr>
            <w:r>
              <w:rPr>
                <w:b/>
                <w:sz w:val="22"/>
              </w:rPr>
              <w:t>Correntes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476"/>
              <w:rPr>
                <w:b/>
                <w:sz w:val="22"/>
              </w:rPr>
            </w:pPr>
            <w:r>
              <w:rPr>
                <w:b/>
                <w:sz w:val="22"/>
              </w:rPr>
              <w:t>Capital</w:t>
            </w:r>
          </w:p>
        </w:tc>
        <w:tc>
          <w:tcPr>
            <w:tcW w:w="2297" w:type="dxa"/>
          </w:tcPr>
          <w:p>
            <w:pPr>
              <w:pStyle w:val="TableParagraph"/>
              <w:ind w:left="856" w:right="7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Orçada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4.030.379,02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810.486,13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4.840.865,15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Arrecadada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3.274.616,12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3.274.616,12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Percentual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Arrecadado</w:t>
            </w:r>
          </w:p>
        </w:tc>
        <w:tc>
          <w:tcPr>
            <w:tcW w:w="2432" w:type="dxa"/>
          </w:tcPr>
          <w:p>
            <w:pPr>
              <w:pStyle w:val="TableParagraph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81,25%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Orçada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4.377.720,86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4.677.720,86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Liquidada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2.382.507,09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28"/>
              <w:rPr>
                <w:sz w:val="22"/>
              </w:rPr>
            </w:pPr>
            <w:r>
              <w:rPr>
                <w:sz w:val="22"/>
              </w:rPr>
              <w:t>37.666,13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2.420.173,22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Percentual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Realizado</w:t>
            </w:r>
          </w:p>
        </w:tc>
        <w:tc>
          <w:tcPr>
            <w:tcW w:w="2432" w:type="dxa"/>
          </w:tcPr>
          <w:p>
            <w:pPr>
              <w:pStyle w:val="TableParagraph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54,42%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856"/>
              <w:rPr>
                <w:b/>
                <w:sz w:val="22"/>
              </w:rPr>
            </w:pPr>
            <w:r>
              <w:rPr>
                <w:b/>
                <w:sz w:val="22"/>
              </w:rPr>
              <w:t>12,56%</w:t>
            </w:r>
          </w:p>
        </w:tc>
        <w:tc>
          <w:tcPr>
            <w:tcW w:w="2297" w:type="dxa"/>
          </w:tcPr>
          <w:p>
            <w:pPr>
              <w:pStyle w:val="TableParagraph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51,74%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Reserva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Contingência</w:t>
            </w:r>
          </w:p>
        </w:tc>
        <w:tc>
          <w:tcPr>
            <w:tcW w:w="2432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color w:val="00AFEF"/>
                <w:sz w:val="22"/>
              </w:rPr>
              <w:t>Superávit</w:t>
            </w:r>
            <w:r>
              <w:rPr>
                <w:b/>
                <w:color w:val="00AFEF"/>
                <w:spacing w:val="-6"/>
                <w:sz w:val="22"/>
              </w:rPr>
              <w:t> </w:t>
            </w:r>
            <w:r>
              <w:rPr>
                <w:b/>
                <w:color w:val="00AFEF"/>
                <w:sz w:val="22"/>
              </w:rPr>
              <w:t>Orçamentário</w:t>
            </w:r>
          </w:p>
        </w:tc>
        <w:tc>
          <w:tcPr>
            <w:tcW w:w="2432" w:type="dxa"/>
          </w:tcPr>
          <w:p>
            <w:pPr>
              <w:pStyle w:val="TableParagraph"/>
              <w:ind w:right="63"/>
              <w:jc w:val="right"/>
              <w:rPr>
                <w:b/>
                <w:sz w:val="22"/>
              </w:rPr>
            </w:pPr>
            <w:r>
              <w:rPr>
                <w:b/>
                <w:color w:val="00AFEF"/>
                <w:sz w:val="22"/>
              </w:rPr>
              <w:t>854.442,90</w:t>
            </w:r>
          </w:p>
        </w:tc>
        <w:tc>
          <w:tcPr>
            <w:tcW w:w="3885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color w:val="00AF4F"/>
                <w:sz w:val="22"/>
              </w:rPr>
              <w:t>Superávit</w:t>
            </w:r>
            <w:r>
              <w:rPr>
                <w:b/>
                <w:color w:val="00AF4F"/>
                <w:spacing w:val="-6"/>
                <w:sz w:val="22"/>
              </w:rPr>
              <w:t> </w:t>
            </w:r>
            <w:r>
              <w:rPr>
                <w:b/>
                <w:color w:val="00AF4F"/>
                <w:sz w:val="22"/>
              </w:rPr>
              <w:t>Primário</w:t>
            </w:r>
          </w:p>
        </w:tc>
        <w:tc>
          <w:tcPr>
            <w:tcW w:w="2432" w:type="dxa"/>
          </w:tcPr>
          <w:p>
            <w:pPr>
              <w:pStyle w:val="TableParagraph"/>
              <w:ind w:right="63"/>
              <w:jc w:val="right"/>
              <w:rPr>
                <w:b/>
                <w:sz w:val="22"/>
              </w:rPr>
            </w:pPr>
            <w:r>
              <w:rPr>
                <w:b/>
                <w:color w:val="00AF4F"/>
                <w:sz w:val="22"/>
              </w:rPr>
              <w:t>892.109,03</w:t>
            </w:r>
          </w:p>
        </w:tc>
        <w:tc>
          <w:tcPr>
            <w:tcW w:w="3885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9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1" w:lineRule="exact" w:before="184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</w:tr>
      <w:tr>
        <w:trPr>
          <w:trHeight w:val="447" w:hRule="atLeast"/>
        </w:trPr>
        <w:tc>
          <w:tcPr>
            <w:tcW w:w="58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82"/>
              <w:ind w:left="121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Disponível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82"/>
              <w:ind w:left="2235"/>
              <w:rPr>
                <w:sz w:val="22"/>
              </w:rPr>
            </w:pPr>
            <w:r>
              <w:rPr>
                <w:sz w:val="22"/>
              </w:rPr>
              <w:t>3.479.738,61</w:t>
            </w:r>
          </w:p>
        </w:tc>
      </w:tr>
      <w:tr>
        <w:trPr>
          <w:trHeight w:val="448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43" w:lineRule="exact" w:before="184"/>
              <w:ind w:left="121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Passivo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Circulante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43" w:lineRule="exact" w:before="184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846.478,26</w:t>
            </w:r>
          </w:p>
        </w:tc>
      </w:tr>
      <w:tr>
        <w:trPr>
          <w:trHeight w:val="450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before="184"/>
              <w:ind w:left="121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Processado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before="184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447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43" w:lineRule="exact" w:before="184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(=)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Superávit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43" w:lineRule="exact" w:before="184"/>
              <w:ind w:left="2225"/>
              <w:rPr>
                <w:b/>
                <w:sz w:val="22"/>
              </w:rPr>
            </w:pPr>
            <w:r>
              <w:rPr>
                <w:b/>
                <w:sz w:val="22"/>
              </w:rPr>
              <w:t>2.633.260,35</w:t>
            </w:r>
          </w:p>
        </w:tc>
      </w:tr>
    </w:tbl>
    <w:p>
      <w:pPr>
        <w:spacing w:before="245"/>
        <w:ind w:left="824" w:right="0" w:firstLine="0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saldo</w:t>
      </w:r>
      <w:r>
        <w:rPr>
          <w:spacing w:val="12"/>
          <w:sz w:val="24"/>
        </w:rPr>
        <w:t> </w:t>
      </w:r>
      <w:r>
        <w:rPr>
          <w:sz w:val="24"/>
        </w:rPr>
        <w:t>disponível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passou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mês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outubro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2023</w:t>
      </w:r>
      <w:r>
        <w:rPr>
          <w:spacing w:val="13"/>
          <w:sz w:val="24"/>
        </w:rPr>
        <w:t> </w:t>
      </w:r>
      <w:r>
        <w:rPr>
          <w:sz w:val="24"/>
        </w:rPr>
        <w:t>foi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3.479.738,61</w:t>
      </w:r>
    </w:p>
    <w:p>
      <w:pPr>
        <w:spacing w:before="23"/>
        <w:ind w:left="115" w:right="0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está</w:t>
      </w:r>
      <w:r>
        <w:rPr>
          <w:spacing w:val="-7"/>
          <w:sz w:val="24"/>
        </w:rPr>
        <w:t> </w:t>
      </w:r>
      <w:r>
        <w:rPr>
          <w:sz w:val="24"/>
        </w:rPr>
        <w:t>demonstrado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Balanço</w:t>
      </w:r>
      <w:r>
        <w:rPr>
          <w:spacing w:val="-4"/>
          <w:sz w:val="24"/>
        </w:rPr>
        <w:t> </w:t>
      </w:r>
      <w:r>
        <w:rPr>
          <w:sz w:val="24"/>
        </w:rPr>
        <w:t>Patrimonial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mês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setembro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2023.</w:t>
      </w:r>
    </w:p>
    <w:p>
      <w:pPr>
        <w:spacing w:line="259" w:lineRule="auto" w:before="183"/>
        <w:ind w:left="115" w:right="0" w:firstLine="708"/>
        <w:jc w:val="left"/>
        <w:rPr>
          <w:sz w:val="24"/>
        </w:rPr>
      </w:pPr>
      <w:r>
        <w:rPr>
          <w:sz w:val="24"/>
        </w:rPr>
        <w:t>Após</w:t>
      </w:r>
      <w:r>
        <w:rPr>
          <w:spacing w:val="2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Balanço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mês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setembro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2023,</w:t>
      </w:r>
      <w:r>
        <w:rPr>
          <w:spacing w:val="2"/>
          <w:sz w:val="24"/>
        </w:rPr>
        <w:t> </w:t>
      </w:r>
      <w:r>
        <w:rPr>
          <w:sz w:val="24"/>
        </w:rPr>
        <w:t>verificou-se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51"/>
          <w:sz w:val="24"/>
        </w:rPr>
        <w:t> </w:t>
      </w:r>
      <w:r>
        <w:rPr>
          <w:sz w:val="24"/>
        </w:rPr>
        <w:t>CAUMS</w:t>
      </w:r>
      <w:r>
        <w:rPr>
          <w:spacing w:val="-2"/>
          <w:sz w:val="24"/>
        </w:rPr>
        <w:t> </w:t>
      </w:r>
      <w:r>
        <w:rPr>
          <w:sz w:val="24"/>
        </w:rPr>
        <w:t>apurou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Superávit</w:t>
      </w:r>
      <w:r>
        <w:rPr>
          <w:spacing w:val="-2"/>
          <w:sz w:val="24"/>
        </w:rPr>
        <w:t> </w:t>
      </w:r>
      <w:r>
        <w:rPr>
          <w:sz w:val="24"/>
        </w:rPr>
        <w:t>Financeiro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2.633.260,35</w:t>
      </w:r>
      <w:r>
        <w:rPr>
          <w:sz w:val="24"/>
        </w:rPr>
        <w:t>.</w:t>
      </w: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20" w:hRule="atLeast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Patrimonial</w:t>
            </w:r>
          </w:p>
        </w:tc>
      </w:tr>
      <w:tr>
        <w:trPr>
          <w:trHeight w:val="268" w:hRule="atLeast"/>
        </w:trPr>
        <w:tc>
          <w:tcPr>
            <w:tcW w:w="7780" w:type="dxa"/>
          </w:tcPr>
          <w:p>
            <w:pPr>
              <w:pStyle w:val="TableParagraph"/>
              <w:spacing w:line="243" w:lineRule="exact" w:before="4"/>
              <w:ind w:left="71"/>
              <w:rPr>
                <w:sz w:val="22"/>
              </w:rPr>
            </w:pPr>
            <w:r>
              <w:rPr>
                <w:sz w:val="22"/>
              </w:rPr>
              <w:t>VPA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3.159.625,81</w:t>
            </w:r>
          </w:p>
        </w:tc>
      </w:tr>
      <w:tr>
        <w:trPr>
          <w:trHeight w:val="270" w:hRule="atLeast"/>
        </w:trPr>
        <w:tc>
          <w:tcPr>
            <w:tcW w:w="77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VPD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2.496.994,49</w:t>
            </w:r>
          </w:p>
        </w:tc>
      </w:tr>
      <w:tr>
        <w:trPr>
          <w:trHeight w:val="267" w:hRule="atLeast"/>
        </w:trPr>
        <w:tc>
          <w:tcPr>
            <w:tcW w:w="7780" w:type="dxa"/>
          </w:tcPr>
          <w:p>
            <w:pPr>
              <w:pStyle w:val="TableParagraph"/>
              <w:spacing w:line="243" w:lineRule="exact" w:before="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(=)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Superávit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Patrimonial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4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662.631,32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spacing w:line="259" w:lineRule="auto" w:before="0"/>
        <w:ind w:left="115" w:right="0" w:firstLine="708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CAUMS apresentou</w:t>
      </w:r>
      <w:r>
        <w:rPr>
          <w:spacing w:val="-1"/>
          <w:sz w:val="24"/>
        </w:rPr>
        <w:t> </w:t>
      </w:r>
      <w:r>
        <w:rPr>
          <w:sz w:val="24"/>
        </w:rPr>
        <w:t>em setembro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 um</w:t>
      </w:r>
      <w:r>
        <w:rPr>
          <w:spacing w:val="-1"/>
          <w:sz w:val="24"/>
        </w:rPr>
        <w:t> </w:t>
      </w:r>
      <w:r>
        <w:rPr>
          <w:sz w:val="24"/>
        </w:rPr>
        <w:t>Superávit</w:t>
      </w:r>
      <w:r>
        <w:rPr>
          <w:spacing w:val="-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no valor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662.631,32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conforme demonstrado.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35" w:hRule="atLeast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5" w:lineRule="exact" w:before="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Comparativo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(arrecadada)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Corrente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2.865.085,24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3.274.616,12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R$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409.530,88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14,29%</w:t>
            </w:r>
          </w:p>
        </w:tc>
      </w:tr>
      <w:tr>
        <w:trPr>
          <w:trHeight w:val="290" w:hRule="atLeast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 w:before="14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Comparativo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Despesa(realizada)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Corrente</w:t>
            </w:r>
          </w:p>
        </w:tc>
      </w:tr>
      <w:tr>
        <w:trPr>
          <w:trHeight w:val="289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1.901.935,28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2.382.507,09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R$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480.571,81</w:t>
            </w:r>
          </w:p>
        </w:tc>
      </w:tr>
    </w:tbl>
    <w:p>
      <w:pPr>
        <w:spacing w:after="0" w:line="243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8" w:footer="662" w:top="1340" w:bottom="860" w:left="1020" w:right="130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576" w:type="dxa"/>
          </w:tcPr>
          <w:p>
            <w:pPr>
              <w:pStyle w:val="TableParagraph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25,27%</w:t>
            </w:r>
          </w:p>
        </w:tc>
      </w:tr>
      <w:tr>
        <w:trPr>
          <w:trHeight w:val="537" w:hRule="atLeast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Gastos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Pessoal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Encargos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Arrecadada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Arrecadada</w:t>
            </w:r>
          </w:p>
        </w:tc>
        <w:tc>
          <w:tcPr>
            <w:tcW w:w="1576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3.949.532,50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Pessoal</w:t>
            </w:r>
          </w:p>
        </w:tc>
        <w:tc>
          <w:tcPr>
            <w:tcW w:w="1576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1.806.494,67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Arrecadada</w:t>
            </w:r>
          </w:p>
        </w:tc>
        <w:tc>
          <w:tcPr>
            <w:tcW w:w="1576" w:type="dxa"/>
          </w:tcPr>
          <w:p>
            <w:pPr>
              <w:pStyle w:val="TableParagraph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45,74%</w:t>
            </w:r>
          </w:p>
        </w:tc>
      </w:tr>
    </w:tbl>
    <w:p>
      <w:pPr>
        <w:spacing w:line="259" w:lineRule="auto" w:before="15"/>
        <w:ind w:left="115" w:right="442" w:firstLine="0"/>
        <w:jc w:val="both"/>
        <w:rPr>
          <w:i/>
          <w:sz w:val="23"/>
        </w:rPr>
      </w:pPr>
      <w:r>
        <w:rPr>
          <w:i/>
          <w:sz w:val="23"/>
        </w:rPr>
        <w:t>O gasto de pessoal e encargos sociais sobre a receita arrecadada nos últimos 12 (doze) meses foi</w:t>
      </w:r>
      <w:r>
        <w:rPr>
          <w:i/>
          <w:spacing w:val="-49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-1"/>
          <w:sz w:val="23"/>
        </w:rPr>
        <w:t> </w:t>
      </w:r>
      <w:r>
        <w:rPr>
          <w:b/>
          <w:i/>
          <w:sz w:val="23"/>
        </w:rPr>
        <w:t>45,74%</w:t>
      </w:r>
      <w:r>
        <w:rPr>
          <w:i/>
          <w:sz w:val="23"/>
        </w:rPr>
        <w:t>.</w:t>
      </w:r>
    </w:p>
    <w:p>
      <w:pPr>
        <w:spacing w:line="259" w:lineRule="auto" w:before="0"/>
        <w:ind w:left="115" w:right="437" w:firstLine="0"/>
        <w:jc w:val="both"/>
        <w:rPr>
          <w:i/>
          <w:sz w:val="22"/>
        </w:rPr>
      </w:pPr>
      <w:r>
        <w:rPr>
          <w:i/>
          <w:sz w:val="22"/>
        </w:rPr>
        <w:t>Para este cálculo, são considerados os valores do mês de referência da análise (setembro/2023)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somando-se aos 11 meses imediatamente anteriores, conforme utilizado no Art. 18, § 2º, da Lei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Complementar Nº 101 (LRF), de 4 de maio de 2000. Ademais, desconsidera-se as despesas 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benefícios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 pessoal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 com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rescisão.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BodyText"/>
        <w:spacing w:line="259" w:lineRule="auto"/>
        <w:ind w:left="115" w:right="408" w:firstLine="708"/>
        <w:jc w:val="both"/>
      </w:pPr>
      <w:r>
        <w:rPr/>
        <w:t>O presente relatório foi produzido após a análise dos demonstrativos contábeis por meio dos</w:t>
      </w:r>
      <w:r>
        <w:rPr>
          <w:spacing w:val="-47"/>
        </w:rPr>
        <w:t> </w:t>
      </w:r>
      <w:r>
        <w:rPr/>
        <w:t>sistemas Auditoria.Net, SISCONT.Net e SISPAT.Net. Dessa forma, os documentos que geraram as</w:t>
      </w:r>
      <w:r>
        <w:rPr>
          <w:spacing w:val="1"/>
        </w:rPr>
        <w:t> </w:t>
      </w:r>
      <w:r>
        <w:rPr/>
        <w:t>informações contábeis não foram objeto de análise. Portanto, este relatório não exime a necessidade</w:t>
      </w:r>
      <w:r>
        <w:rPr>
          <w:spacing w:val="-48"/>
        </w:rPr>
        <w:t> </w:t>
      </w:r>
      <w:r>
        <w:rPr/>
        <w:t>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200,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6336"/>
      </w:pPr>
      <w:r>
        <w:rPr/>
        <w:t>Brasília,</w:t>
      </w:r>
      <w:r>
        <w:rPr>
          <w:spacing w:val="-4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2569164</wp:posOffset>
            </wp:positionH>
            <wp:positionV relativeFrom="paragraph">
              <wp:posOffset>220781</wp:posOffset>
            </wp:positionV>
            <wp:extent cx="1774675" cy="38052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5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013" w:right="3297"/>
        <w:jc w:val="center"/>
      </w:pPr>
      <w:r>
        <w:rPr/>
        <w:t>ALCIRAN</w:t>
      </w:r>
      <w:r>
        <w:rPr>
          <w:spacing w:val="-5"/>
        </w:rPr>
        <w:t> </w:t>
      </w:r>
      <w:r>
        <w:rPr/>
        <w:t>COELHO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SOUSA</w:t>
      </w:r>
      <w:r>
        <w:rPr>
          <w:spacing w:val="-6"/>
        </w:rPr>
        <w:t> </w:t>
      </w:r>
      <w:r>
        <w:rPr/>
        <w:t>JUNIOR</w:t>
      </w:r>
    </w:p>
    <w:p>
      <w:pPr>
        <w:pStyle w:val="BodyText"/>
        <w:spacing w:line="259" w:lineRule="auto" w:before="21"/>
        <w:ind w:left="317" w:right="613"/>
        <w:jc w:val="center"/>
      </w:pPr>
      <w:hyperlink r:id="rId8">
        <w:r>
          <w:rPr>
            <w:color w:val="0462C0"/>
            <w:u w:val="single" w:color="0462C0"/>
          </w:rPr>
          <w:t>CONTADOR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(EM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SUBSTITUIÇÃO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-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PORTARIA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GERENCIAL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CAU/BR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N°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82,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8"/>
            <w:u w:val="single" w:color="0462C0"/>
          </w:rPr>
          <w:t> </w:t>
        </w:r>
        <w:r>
          <w:rPr>
            <w:color w:val="0462C0"/>
            <w:u w:val="single" w:color="0462C0"/>
          </w:rPr>
          <w:t>29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5"/>
            <w:u w:val="single" w:color="0462C0"/>
          </w:rPr>
          <w:t> </w:t>
        </w:r>
        <w:r>
          <w:rPr>
            <w:color w:val="0462C0"/>
            <w:u w:val="single" w:color="0462C0"/>
          </w:rPr>
          <w:t>JUNHO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2023)</w:t>
        </w:r>
      </w:hyperlink>
      <w:r>
        <w:rPr>
          <w:color w:val="0462C0"/>
          <w:spacing w:val="-47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 CONTABILIDADE</w:t>
      </w:r>
    </w:p>
    <w:p>
      <w:pPr>
        <w:pStyle w:val="BodyText"/>
        <w:ind w:left="317" w:right="604"/>
        <w:jc w:val="center"/>
      </w:pPr>
      <w:r>
        <w:rPr/>
        <w:t>GERÊNCIA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ORÇAMENTO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FINANÇAS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CAUBR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GERFIN</w:t>
      </w:r>
    </w:p>
    <w:sectPr>
      <w:pgSz w:w="11910" w:h="16840"/>
      <w:pgMar w:header="98" w:footer="662" w:top="1340" w:bottom="86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9696">
          <wp:simplePos x="0" y="0"/>
          <wp:positionH relativeFrom="page">
            <wp:posOffset>919480</wp:posOffset>
          </wp:positionH>
          <wp:positionV relativeFrom="page">
            <wp:posOffset>10144756</wp:posOffset>
          </wp:positionV>
          <wp:extent cx="5759450" cy="34019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340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9184">
          <wp:simplePos x="0" y="0"/>
          <wp:positionH relativeFrom="page">
            <wp:posOffset>810247</wp:posOffset>
          </wp:positionH>
          <wp:positionV relativeFrom="page">
            <wp:posOffset>62478</wp:posOffset>
          </wp:positionV>
          <wp:extent cx="5759450" cy="661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6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317" w:right="605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 w:line="245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s://transparencia.caubr.gov.br/portariagerencial-23-82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Alciran Coelho de Sousa Junior</dc:creator>
  <dcterms:created xsi:type="dcterms:W3CDTF">2024-01-18T16:59:26Z</dcterms:created>
  <dcterms:modified xsi:type="dcterms:W3CDTF">2024-01-18T16:59:26Z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2023-10-31T00:00:00Z</vt:filetime>
  </property>
</Properties>
</file>