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Informações</w:t>
      </w:r>
      <w:r>
        <w:rPr>
          <w:spacing w:val="-5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2º</w:t>
      </w:r>
      <w:r>
        <w:rPr>
          <w:spacing w:val="-5"/>
        </w:rPr>
        <w:t> </w:t>
      </w:r>
      <w:r>
        <w:rPr/>
        <w:t>TRIM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CAUMS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2432"/>
        <w:gridCol w:w="411"/>
        <w:gridCol w:w="1177"/>
        <w:gridCol w:w="2297"/>
      </w:tblGrid>
      <w:tr>
        <w:trPr>
          <w:trHeight w:val="447" w:hRule="atLeast"/>
        </w:trPr>
        <w:tc>
          <w:tcPr>
            <w:tcW w:w="9359" w:type="dxa"/>
            <w:gridSpan w:val="5"/>
          </w:tcPr>
          <w:p>
            <w:pPr>
              <w:pStyle w:val="TableParagraph"/>
              <w:spacing w:line="243" w:lineRule="exact" w:before="18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</w:tr>
      <w:tr>
        <w:trPr>
          <w:trHeight w:val="750" w:hRule="atLeast"/>
        </w:trPr>
        <w:tc>
          <w:tcPr>
            <w:tcW w:w="9359" w:type="dxa"/>
            <w:gridSpan w:val="5"/>
          </w:tcPr>
          <w:p>
            <w:pPr>
              <w:pStyle w:val="TableParagraph"/>
              <w:spacing w:line="240" w:lineRule="auto" w:before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Orçamentário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1328" w:right="1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2432" w:type="dxa"/>
          </w:tcPr>
          <w:p>
            <w:pPr>
              <w:pStyle w:val="TableParagraph"/>
              <w:spacing w:line="245" w:lineRule="exact" w:before="24"/>
              <w:ind w:left="767"/>
              <w:rPr>
                <w:b/>
                <w:sz w:val="22"/>
              </w:rPr>
            </w:pPr>
            <w:r>
              <w:rPr>
                <w:b/>
                <w:sz w:val="22"/>
              </w:rPr>
              <w:t>Correntes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45" w:lineRule="exact" w:before="24"/>
              <w:ind w:left="476"/>
              <w:rPr>
                <w:b/>
                <w:sz w:val="22"/>
              </w:rPr>
            </w:pPr>
            <w:r>
              <w:rPr>
                <w:b/>
                <w:sz w:val="22"/>
              </w:rPr>
              <w:t>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45" w:lineRule="exact" w:before="24"/>
              <w:ind w:left="856" w:right="7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Orçada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Correntes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886"/>
              <w:rPr>
                <w:b/>
                <w:sz w:val="22"/>
              </w:rPr>
            </w:pPr>
            <w:r>
              <w:rPr>
                <w:b/>
                <w:sz w:val="22"/>
              </w:rPr>
              <w:t>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Arrecadada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4.217.720,86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460.000,00</w:t>
            </w:r>
          </w:p>
        </w:tc>
        <w:tc>
          <w:tcPr>
            <w:tcW w:w="2297" w:type="dxa"/>
          </w:tcPr>
          <w:p>
            <w:pPr>
              <w:pStyle w:val="TableParagraph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4.677.720,86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Percentual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Arrecadado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2.250.163,05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97" w:type="dxa"/>
          </w:tcPr>
          <w:p>
            <w:pPr>
              <w:pStyle w:val="TableParagraph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2.250.163,05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Orçada</w:t>
            </w:r>
          </w:p>
        </w:tc>
        <w:tc>
          <w:tcPr>
            <w:tcW w:w="2432" w:type="dxa"/>
          </w:tcPr>
          <w:p>
            <w:pPr>
              <w:pStyle w:val="TableParagraph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53,35%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Liquidada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4.377.720,86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2297" w:type="dxa"/>
          </w:tcPr>
          <w:p>
            <w:pPr>
              <w:pStyle w:val="TableParagraph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4.677.720,86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Percentual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Realizado</w:t>
            </w:r>
          </w:p>
        </w:tc>
        <w:tc>
          <w:tcPr>
            <w:tcW w:w="2432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1.534.015,87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28"/>
              <w:rPr>
                <w:sz w:val="22"/>
              </w:rPr>
            </w:pPr>
            <w:r>
              <w:rPr>
                <w:sz w:val="22"/>
              </w:rPr>
              <w:t>15.486,13</w:t>
            </w:r>
          </w:p>
        </w:tc>
        <w:tc>
          <w:tcPr>
            <w:tcW w:w="2297" w:type="dxa"/>
          </w:tcPr>
          <w:p>
            <w:pPr>
              <w:pStyle w:val="TableParagraph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1.549.502,00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121"/>
              <w:rPr>
                <w:sz w:val="22"/>
              </w:rPr>
            </w:pPr>
            <w:r>
              <w:rPr>
                <w:sz w:val="22"/>
              </w:rPr>
              <w:t>Reserva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Contingência</w:t>
            </w:r>
          </w:p>
        </w:tc>
        <w:tc>
          <w:tcPr>
            <w:tcW w:w="2432" w:type="dxa"/>
          </w:tcPr>
          <w:p>
            <w:pPr>
              <w:pStyle w:val="TableParagraph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35,04%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968"/>
              <w:rPr>
                <w:b/>
                <w:sz w:val="22"/>
              </w:rPr>
            </w:pPr>
            <w:r>
              <w:rPr>
                <w:b/>
                <w:sz w:val="22"/>
              </w:rPr>
              <w:t>5,16%</w:t>
            </w:r>
          </w:p>
        </w:tc>
        <w:tc>
          <w:tcPr>
            <w:tcW w:w="2297" w:type="dxa"/>
          </w:tcPr>
          <w:p>
            <w:pPr>
              <w:pStyle w:val="TableParagraph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33,13%</w:t>
            </w: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121"/>
              <w:rPr>
                <w:b/>
                <w:sz w:val="22"/>
              </w:rPr>
            </w:pPr>
            <w:r>
              <w:rPr>
                <w:b/>
                <w:color w:val="00AFEF"/>
                <w:sz w:val="22"/>
              </w:rPr>
              <w:t>Superávit</w:t>
            </w:r>
            <w:r>
              <w:rPr>
                <w:b/>
                <w:color w:val="00AFEF"/>
                <w:spacing w:val="-6"/>
                <w:sz w:val="22"/>
              </w:rPr>
              <w:t> </w:t>
            </w:r>
            <w:r>
              <w:rPr>
                <w:b/>
                <w:color w:val="00AFEF"/>
                <w:sz w:val="22"/>
              </w:rPr>
              <w:t>Orçamentário</w:t>
            </w:r>
          </w:p>
        </w:tc>
        <w:tc>
          <w:tcPr>
            <w:tcW w:w="2432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85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042" w:type="dxa"/>
          </w:tcPr>
          <w:p>
            <w:pPr>
              <w:pStyle w:val="TableParagraph"/>
              <w:spacing w:line="245" w:lineRule="exact" w:before="24"/>
              <w:ind w:left="121"/>
              <w:rPr>
                <w:b/>
                <w:sz w:val="22"/>
              </w:rPr>
            </w:pPr>
            <w:r>
              <w:rPr>
                <w:b/>
                <w:color w:val="00AF4F"/>
                <w:sz w:val="22"/>
              </w:rPr>
              <w:t>Superávit</w:t>
            </w:r>
            <w:r>
              <w:rPr>
                <w:b/>
                <w:color w:val="00AF4F"/>
                <w:spacing w:val="-6"/>
                <w:sz w:val="22"/>
              </w:rPr>
              <w:t> </w:t>
            </w:r>
            <w:r>
              <w:rPr>
                <w:b/>
                <w:color w:val="00AF4F"/>
                <w:sz w:val="22"/>
              </w:rPr>
              <w:t>Primário</w:t>
            </w:r>
          </w:p>
        </w:tc>
        <w:tc>
          <w:tcPr>
            <w:tcW w:w="2432" w:type="dxa"/>
          </w:tcPr>
          <w:p>
            <w:pPr>
              <w:pStyle w:val="TableParagraph"/>
              <w:ind w:right="61"/>
              <w:jc w:val="right"/>
              <w:rPr>
                <w:b/>
                <w:sz w:val="22"/>
              </w:rPr>
            </w:pPr>
            <w:r>
              <w:rPr>
                <w:b/>
                <w:color w:val="00AFEF"/>
                <w:sz w:val="22"/>
              </w:rPr>
              <w:t>700.661,05</w:t>
            </w:r>
          </w:p>
        </w:tc>
        <w:tc>
          <w:tcPr>
            <w:tcW w:w="3885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9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1" w:lineRule="exact" w:before="184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</w:tr>
      <w:tr>
        <w:trPr>
          <w:trHeight w:val="447" w:hRule="atLeast"/>
        </w:trPr>
        <w:tc>
          <w:tcPr>
            <w:tcW w:w="58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45" w:lineRule="exact" w:before="182"/>
              <w:ind w:left="121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Disponível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5" w:lineRule="exact" w:before="182"/>
              <w:ind w:left="2235"/>
              <w:rPr>
                <w:sz w:val="22"/>
              </w:rPr>
            </w:pPr>
            <w:r>
              <w:rPr>
                <w:sz w:val="22"/>
              </w:rPr>
              <w:t>3.277.392,98</w:t>
            </w:r>
          </w:p>
        </w:tc>
      </w:tr>
      <w:tr>
        <w:trPr>
          <w:trHeight w:val="448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3" w:lineRule="exact" w:before="184"/>
              <w:ind w:left="12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Circulante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3" w:lineRule="exact" w:before="184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768.596,97</w:t>
            </w:r>
          </w:p>
        </w:tc>
      </w:tr>
      <w:tr>
        <w:trPr>
          <w:trHeight w:val="450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5" w:lineRule="exact" w:before="184"/>
              <w:ind w:left="121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Processado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5" w:lineRule="exact" w:before="184"/>
              <w:ind w:right="59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447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43" w:lineRule="exact" w:before="184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(=)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Superávit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43" w:lineRule="exact" w:before="184"/>
              <w:ind w:left="2225"/>
              <w:rPr>
                <w:b/>
                <w:sz w:val="22"/>
              </w:rPr>
            </w:pPr>
            <w:r>
              <w:rPr>
                <w:b/>
                <w:sz w:val="22"/>
              </w:rPr>
              <w:t>2.508.796,01</w:t>
            </w:r>
          </w:p>
        </w:tc>
      </w:tr>
    </w:tbl>
    <w:p>
      <w:pPr>
        <w:pStyle w:val="Heading1"/>
        <w:spacing w:line="259" w:lineRule="auto" w:before="245"/>
      </w:pPr>
      <w:r>
        <w:rPr/>
        <w:t>O</w:t>
      </w:r>
      <w:r>
        <w:rPr>
          <w:spacing w:val="2"/>
        </w:rPr>
        <w:t> </w:t>
      </w:r>
      <w:r>
        <w:rPr/>
        <w:t>saldo</w:t>
      </w:r>
      <w:r>
        <w:rPr>
          <w:spacing w:val="3"/>
        </w:rPr>
        <w:t> </w:t>
      </w:r>
      <w:r>
        <w:rPr/>
        <w:t>disponível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passou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julho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2023</w:t>
      </w:r>
      <w:r>
        <w:rPr>
          <w:spacing w:val="1"/>
        </w:rPr>
        <w:t> </w:t>
      </w:r>
      <w:r>
        <w:rPr/>
        <w:t>foi</w:t>
      </w:r>
      <w:r>
        <w:rPr>
          <w:spacing w:val="5"/>
        </w:rPr>
        <w:t> </w:t>
      </w:r>
      <w:r>
        <w:rPr/>
        <w:t>de</w:t>
      </w:r>
      <w:r>
        <w:rPr>
          <w:spacing w:val="17"/>
        </w:rPr>
        <w:t> </w:t>
      </w:r>
      <w:r>
        <w:rPr>
          <w:b/>
        </w:rPr>
        <w:t>R$</w:t>
      </w:r>
      <w:r>
        <w:rPr>
          <w:b/>
          <w:spacing w:val="4"/>
        </w:rPr>
        <w:t> </w:t>
      </w:r>
      <w:r>
        <w:rPr>
          <w:b/>
        </w:rPr>
        <w:t>3.277.392,98</w:t>
      </w:r>
      <w:r>
        <w:rPr>
          <w:b/>
          <w:spacing w:val="6"/>
        </w:rPr>
        <w:t> </w:t>
      </w:r>
      <w:r>
        <w:rPr/>
        <w:t>que</w:t>
      </w:r>
      <w:r>
        <w:rPr>
          <w:spacing w:val="-51"/>
        </w:rPr>
        <w:t> </w:t>
      </w:r>
      <w:r>
        <w:rPr/>
        <w:t>está</w:t>
      </w:r>
      <w:r>
        <w:rPr>
          <w:spacing w:val="-3"/>
        </w:rPr>
        <w:t> </w:t>
      </w:r>
      <w:r>
        <w:rPr/>
        <w:t>demonstrado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Balanço</w:t>
      </w:r>
      <w:r>
        <w:rPr>
          <w:spacing w:val="-1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 2023.</w:t>
      </w:r>
    </w:p>
    <w:p>
      <w:pPr>
        <w:spacing w:line="259" w:lineRule="auto" w:before="159"/>
        <w:ind w:left="115" w:right="56" w:firstLine="708"/>
        <w:jc w:val="left"/>
        <w:rPr>
          <w:sz w:val="24"/>
        </w:rPr>
      </w:pPr>
      <w:r>
        <w:rPr>
          <w:sz w:val="24"/>
        </w:rPr>
        <w:t>Após</w:t>
      </w:r>
      <w:r>
        <w:rPr>
          <w:spacing w:val="31"/>
          <w:sz w:val="24"/>
        </w:rPr>
        <w:t> </w:t>
      </w:r>
      <w:r>
        <w:rPr>
          <w:sz w:val="24"/>
        </w:rPr>
        <w:t>análise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Balanço</w:t>
      </w:r>
      <w:r>
        <w:rPr>
          <w:spacing w:val="31"/>
          <w:sz w:val="24"/>
        </w:rPr>
        <w:t> </w:t>
      </w:r>
      <w:r>
        <w:rPr>
          <w:sz w:val="24"/>
        </w:rPr>
        <w:t>Patrimonial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mês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junho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2023,</w:t>
      </w:r>
      <w:r>
        <w:rPr>
          <w:spacing w:val="30"/>
          <w:sz w:val="24"/>
        </w:rPr>
        <w:t> </w:t>
      </w:r>
      <w:r>
        <w:rPr>
          <w:sz w:val="24"/>
        </w:rPr>
        <w:t>verificou-se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-51"/>
          <w:sz w:val="24"/>
        </w:rPr>
        <w:t> </w:t>
      </w:r>
      <w:r>
        <w:rPr>
          <w:sz w:val="24"/>
        </w:rPr>
        <w:t>CAUMS</w:t>
      </w:r>
      <w:r>
        <w:rPr>
          <w:spacing w:val="-3"/>
          <w:sz w:val="24"/>
        </w:rPr>
        <w:t> </w:t>
      </w:r>
      <w:r>
        <w:rPr>
          <w:sz w:val="24"/>
        </w:rPr>
        <w:t>passou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Superávit</w:t>
      </w:r>
      <w:r>
        <w:rPr>
          <w:spacing w:val="-2"/>
          <w:sz w:val="24"/>
        </w:rPr>
        <w:t> </w:t>
      </w:r>
      <w:r>
        <w:rPr>
          <w:sz w:val="24"/>
        </w:rPr>
        <w:t>Financeiro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2.508.796,01</w:t>
      </w:r>
      <w:r>
        <w:rPr>
          <w:sz w:val="24"/>
        </w:rPr>
        <w:t>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20" w:hRule="atLeast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Patrimonial</w:t>
            </w:r>
          </w:p>
        </w:tc>
      </w:tr>
      <w:tr>
        <w:trPr>
          <w:trHeight w:val="268" w:hRule="atLeast"/>
        </w:trPr>
        <w:tc>
          <w:tcPr>
            <w:tcW w:w="7780" w:type="dxa"/>
          </w:tcPr>
          <w:p>
            <w:pPr>
              <w:pStyle w:val="TableParagraph"/>
              <w:spacing w:line="243" w:lineRule="exact" w:before="4"/>
              <w:ind w:left="71"/>
              <w:rPr>
                <w:sz w:val="22"/>
              </w:rPr>
            </w:pPr>
            <w:r>
              <w:rPr>
                <w:sz w:val="22"/>
              </w:rPr>
              <w:t>VPA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2.439.926,91</w:t>
            </w:r>
          </w:p>
        </w:tc>
      </w:tr>
      <w:tr>
        <w:trPr>
          <w:trHeight w:val="270" w:hRule="atLeast"/>
        </w:trPr>
        <w:tc>
          <w:tcPr>
            <w:tcW w:w="7780" w:type="dxa"/>
          </w:tcPr>
          <w:p>
            <w:pPr>
              <w:pStyle w:val="TableParagraph"/>
              <w:spacing w:line="245" w:lineRule="exact" w:before="4"/>
              <w:ind w:left="71"/>
              <w:rPr>
                <w:sz w:val="22"/>
              </w:rPr>
            </w:pPr>
            <w:r>
              <w:rPr>
                <w:sz w:val="22"/>
              </w:rPr>
              <w:t>VPD</w:t>
            </w:r>
          </w:p>
        </w:tc>
        <w:tc>
          <w:tcPr>
            <w:tcW w:w="1576" w:type="dxa"/>
          </w:tcPr>
          <w:p>
            <w:pPr>
              <w:pStyle w:val="TableParagraph"/>
              <w:spacing w:line="245" w:lineRule="exact" w:before="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1.599.234,78</w:t>
            </w:r>
          </w:p>
        </w:tc>
      </w:tr>
      <w:tr>
        <w:trPr>
          <w:trHeight w:val="267" w:hRule="atLeast"/>
        </w:trPr>
        <w:tc>
          <w:tcPr>
            <w:tcW w:w="7780" w:type="dxa"/>
          </w:tcPr>
          <w:p>
            <w:pPr>
              <w:pStyle w:val="TableParagraph"/>
              <w:spacing w:line="243" w:lineRule="exact" w:before="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(=)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Superávit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Patrimonial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4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840.692,13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Heading1"/>
        <w:spacing w:line="259" w:lineRule="auto"/>
      </w:pPr>
      <w:r>
        <w:rPr/>
        <w:t>O</w:t>
      </w:r>
      <w:r>
        <w:rPr>
          <w:spacing w:val="29"/>
        </w:rPr>
        <w:t> </w:t>
      </w:r>
      <w:r>
        <w:rPr/>
        <w:t>CAUMS</w:t>
      </w:r>
      <w:r>
        <w:rPr>
          <w:spacing w:val="30"/>
        </w:rPr>
        <w:t> </w:t>
      </w:r>
      <w:r>
        <w:rPr/>
        <w:t>apresentou</w:t>
      </w:r>
      <w:r>
        <w:rPr>
          <w:spacing w:val="29"/>
        </w:rPr>
        <w:t> </w:t>
      </w:r>
      <w:r>
        <w:rPr/>
        <w:t>em</w:t>
      </w:r>
      <w:r>
        <w:rPr>
          <w:spacing w:val="31"/>
        </w:rPr>
        <w:t> </w:t>
      </w:r>
      <w:r>
        <w:rPr/>
        <w:t>junho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2023</w:t>
      </w:r>
      <w:r>
        <w:rPr>
          <w:spacing w:val="28"/>
        </w:rPr>
        <w:t> </w:t>
      </w:r>
      <w:r>
        <w:rPr/>
        <w:t>um</w:t>
      </w:r>
      <w:r>
        <w:rPr>
          <w:spacing w:val="31"/>
        </w:rPr>
        <w:t> </w:t>
      </w:r>
      <w:r>
        <w:rPr/>
        <w:t>Superávit</w:t>
      </w:r>
      <w:r>
        <w:rPr>
          <w:spacing w:val="28"/>
        </w:rPr>
        <w:t> </w:t>
      </w:r>
      <w:r>
        <w:rPr/>
        <w:t>Patrimonial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valor</w:t>
      </w:r>
      <w:r>
        <w:rPr>
          <w:spacing w:val="30"/>
        </w:rPr>
        <w:t> </w:t>
      </w:r>
      <w:r>
        <w:rPr/>
        <w:t>de</w:t>
      </w:r>
      <w:r>
        <w:rPr>
          <w:spacing w:val="42"/>
        </w:rPr>
        <w:t> </w:t>
      </w:r>
      <w:r>
        <w:rPr>
          <w:b/>
        </w:rPr>
        <w:t>R$</w:t>
      </w:r>
      <w:r>
        <w:rPr>
          <w:b/>
          <w:spacing w:val="-51"/>
        </w:rPr>
        <w:t> </w:t>
      </w:r>
      <w:r>
        <w:rPr>
          <w:b/>
        </w:rPr>
        <w:t>840.692,13</w:t>
      </w:r>
      <w:r>
        <w:rPr/>
        <w:t>,</w:t>
      </w:r>
      <w:r>
        <w:rPr>
          <w:spacing w:val="-2"/>
        </w:rPr>
        <w:t> </w:t>
      </w:r>
      <w:r>
        <w:rPr/>
        <w:t>conforme demonstrado.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35" w:hRule="atLeast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5" w:lineRule="exact"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Comparativo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(arrecadada)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Corrente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1.983.063,81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2.250.163,05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267.099,24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13,47%</w:t>
            </w:r>
          </w:p>
        </w:tc>
      </w:tr>
      <w:tr>
        <w:trPr>
          <w:trHeight w:val="290" w:hRule="atLeast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Comparativo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Despesa(realizada)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Corrente</w:t>
            </w:r>
          </w:p>
        </w:tc>
      </w:tr>
      <w:tr>
        <w:trPr>
          <w:trHeight w:val="289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1.166.318,80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1.534.015,87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R$</w:t>
            </w:r>
          </w:p>
        </w:tc>
        <w:tc>
          <w:tcPr>
            <w:tcW w:w="1576" w:type="dxa"/>
          </w:tcPr>
          <w:p>
            <w:pPr>
              <w:pStyle w:val="TableParagraph"/>
              <w:spacing w:line="243" w:lineRule="exact" w:before="26"/>
              <w:ind w:right="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367.697,07</w:t>
            </w:r>
          </w:p>
        </w:tc>
      </w:tr>
    </w:tbl>
    <w:p>
      <w:pPr>
        <w:spacing w:after="0" w:line="243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8" w:footer="662" w:top="1340" w:bottom="860" w:left="1020" w:right="130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  <w:gridCol w:w="1576"/>
      </w:tblGrid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Variação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spacing w:line="245" w:lineRule="exact" w:before="24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31,53%</w:t>
            </w:r>
          </w:p>
        </w:tc>
      </w:tr>
      <w:tr>
        <w:trPr>
          <w:trHeight w:val="537" w:hRule="atLeast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</w:p>
          <w:p>
            <w:pPr>
              <w:pStyle w:val="TableParagraph"/>
              <w:spacing w:line="245" w:lineRule="exact" w:before="1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Pessoal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Encargos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Arrecadada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Receita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Arrecadada</w:t>
            </w:r>
          </w:p>
        </w:tc>
        <w:tc>
          <w:tcPr>
            <w:tcW w:w="1576" w:type="dxa"/>
          </w:tcPr>
          <w:p>
            <w:pPr>
              <w:pStyle w:val="TableParagraph"/>
              <w:spacing w:line="245" w:lineRule="exact" w:before="2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3.807.100,86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Pessoal</w:t>
            </w:r>
          </w:p>
        </w:tc>
        <w:tc>
          <w:tcPr>
            <w:tcW w:w="1576" w:type="dxa"/>
          </w:tcPr>
          <w:p>
            <w:pPr>
              <w:pStyle w:val="TableParagraph"/>
              <w:spacing w:line="245" w:lineRule="exact" w:before="24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1.817.104,04</w:t>
            </w:r>
          </w:p>
        </w:tc>
      </w:tr>
      <w:tr>
        <w:trPr>
          <w:trHeight w:val="290" w:hRule="atLeast"/>
        </w:trPr>
        <w:tc>
          <w:tcPr>
            <w:tcW w:w="7780" w:type="dxa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Arrecadada</w:t>
            </w:r>
          </w:p>
        </w:tc>
        <w:tc>
          <w:tcPr>
            <w:tcW w:w="1576" w:type="dxa"/>
          </w:tcPr>
          <w:p>
            <w:pPr>
              <w:pStyle w:val="TableParagraph"/>
              <w:spacing w:line="245" w:lineRule="exact" w:before="24"/>
              <w:ind w:right="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47,73%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line="259" w:lineRule="auto" w:before="56"/>
        <w:ind w:left="115" w:right="408" w:firstLine="708"/>
        <w:jc w:val="both"/>
      </w:pPr>
      <w:r>
        <w:rPr/>
        <w:t>O presente relatório foi produzido após a análise dos demonstrativos contábeis por meio dos</w:t>
      </w:r>
      <w:r>
        <w:rPr>
          <w:spacing w:val="-47"/>
        </w:rPr>
        <w:t> </w:t>
      </w:r>
      <w:r>
        <w:rPr/>
        <w:t>sistemas Auditoria.Net, SISCONT.Net e SISPAT.Net. Dessa forma, os documentos que geraram as</w:t>
      </w:r>
      <w:r>
        <w:rPr>
          <w:spacing w:val="1"/>
        </w:rPr>
        <w:t> </w:t>
      </w:r>
      <w:r>
        <w:rPr/>
        <w:t>informações contábeis não foram objeto de análise. Portanto, este relatório não exime a necessidade</w:t>
      </w:r>
      <w:r>
        <w:rPr>
          <w:spacing w:val="-48"/>
        </w:rPr>
        <w:t> </w:t>
      </w:r>
      <w:r>
        <w:rPr/>
        <w:t>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200,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right="401"/>
        <w:jc w:val="right"/>
      </w:pPr>
      <w:r>
        <w:rPr/>
        <w:t>Brasília,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2540635</wp:posOffset>
            </wp:positionH>
            <wp:positionV relativeFrom="paragraph">
              <wp:posOffset>161705</wp:posOffset>
            </wp:positionV>
            <wp:extent cx="1899720" cy="38052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720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3013" w:right="3297"/>
        <w:jc w:val="center"/>
      </w:pPr>
      <w:r>
        <w:rPr/>
        <w:t>ALCIRAN</w:t>
      </w:r>
      <w:r>
        <w:rPr>
          <w:spacing w:val="-5"/>
        </w:rPr>
        <w:t> </w:t>
      </w:r>
      <w:r>
        <w:rPr/>
        <w:t>COELHO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SOUSA</w:t>
      </w:r>
      <w:r>
        <w:rPr>
          <w:spacing w:val="-6"/>
        </w:rPr>
        <w:t> </w:t>
      </w:r>
      <w:r>
        <w:rPr/>
        <w:t>JUNIOR</w:t>
      </w:r>
    </w:p>
    <w:p>
      <w:pPr>
        <w:pStyle w:val="BodyText"/>
        <w:spacing w:line="259" w:lineRule="auto" w:before="22"/>
        <w:ind w:left="317" w:right="613"/>
        <w:jc w:val="center"/>
      </w:pPr>
      <w:hyperlink r:id="rId8">
        <w:r>
          <w:rPr>
            <w:color w:val="0462C0"/>
            <w:u w:val="single" w:color="0462C0"/>
          </w:rPr>
          <w:t>CONTADOR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(EM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SUBSTITUIÇÃO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-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PORTARIA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GERENCIAL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CAU/BR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N°</w:t>
        </w:r>
        <w:r>
          <w:rPr>
            <w:color w:val="0462C0"/>
            <w:spacing w:val="-7"/>
            <w:u w:val="single" w:color="0462C0"/>
          </w:rPr>
          <w:t> </w:t>
        </w:r>
        <w:r>
          <w:rPr>
            <w:color w:val="0462C0"/>
            <w:u w:val="single" w:color="0462C0"/>
          </w:rPr>
          <w:t>82,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8"/>
            <w:u w:val="single" w:color="0462C0"/>
          </w:rPr>
          <w:t> </w:t>
        </w:r>
        <w:r>
          <w:rPr>
            <w:color w:val="0462C0"/>
            <w:u w:val="single" w:color="0462C0"/>
          </w:rPr>
          <w:t>29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5"/>
            <w:u w:val="single" w:color="0462C0"/>
          </w:rPr>
          <w:t> </w:t>
        </w:r>
        <w:r>
          <w:rPr>
            <w:color w:val="0462C0"/>
            <w:u w:val="single" w:color="0462C0"/>
          </w:rPr>
          <w:t>JUNHO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DE</w:t>
        </w:r>
        <w:r>
          <w:rPr>
            <w:color w:val="0462C0"/>
            <w:spacing w:val="-6"/>
            <w:u w:val="single" w:color="0462C0"/>
          </w:rPr>
          <w:t> </w:t>
        </w:r>
        <w:r>
          <w:rPr>
            <w:color w:val="0462C0"/>
            <w:u w:val="single" w:color="0462C0"/>
          </w:rPr>
          <w:t>2023)</w:t>
        </w:r>
      </w:hyperlink>
      <w:r>
        <w:rPr>
          <w:color w:val="0462C0"/>
          <w:spacing w:val="-47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 CONTABILIDADE</w:t>
      </w:r>
    </w:p>
    <w:p>
      <w:pPr>
        <w:pStyle w:val="BodyText"/>
        <w:ind w:left="317" w:right="604"/>
        <w:jc w:val="center"/>
      </w:pPr>
      <w:r>
        <w:rPr/>
        <w:t>GERÊNCIA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ORÇAMENTO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FINANÇAS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CAUBR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GERFIN</w:t>
      </w:r>
    </w:p>
    <w:sectPr>
      <w:pgSz w:w="11910" w:h="16840"/>
      <w:pgMar w:header="98" w:footer="662" w:top="1340" w:bottom="86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744">
          <wp:simplePos x="0" y="0"/>
          <wp:positionH relativeFrom="page">
            <wp:posOffset>919480</wp:posOffset>
          </wp:positionH>
          <wp:positionV relativeFrom="page">
            <wp:posOffset>10144756</wp:posOffset>
          </wp:positionV>
          <wp:extent cx="5759450" cy="34019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340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232">
          <wp:simplePos x="0" y="0"/>
          <wp:positionH relativeFrom="page">
            <wp:posOffset>810247</wp:posOffset>
          </wp:positionH>
          <wp:positionV relativeFrom="page">
            <wp:posOffset>62478</wp:posOffset>
          </wp:positionV>
          <wp:extent cx="5759450" cy="661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 w:right="56" w:firstLine="708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17" w:right="605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255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transparencia.caubr.gov.br/portariagerencial-23-82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Alciran Coelho de Sousa Junior</dc:creator>
  <dcterms:created xsi:type="dcterms:W3CDTF">2023-08-29T18:29:22Z</dcterms:created>
  <dcterms:modified xsi:type="dcterms:W3CDTF">2023-08-29T18:29:22Z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2023-07-20T00:00:00Z</vt:filetime>
  </property>
</Properties>
</file>