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Informações</w:t>
      </w:r>
      <w:r>
        <w:rPr>
          <w:spacing w:val="13"/>
        </w:rPr>
        <w:t> </w:t>
      </w:r>
      <w:r>
        <w:rPr/>
        <w:t>Contábeis</w:t>
      </w:r>
      <w:r>
        <w:rPr>
          <w:spacing w:val="13"/>
        </w:rPr>
        <w:t> </w:t>
      </w:r>
      <w:r>
        <w:rPr/>
        <w:t>–</w:t>
      </w:r>
      <w:r>
        <w:rPr>
          <w:spacing w:val="11"/>
        </w:rPr>
        <w:t> </w:t>
      </w:r>
      <w:r>
        <w:rPr/>
        <w:t>1º</w:t>
      </w:r>
      <w:r>
        <w:rPr>
          <w:spacing w:val="13"/>
        </w:rPr>
        <w:t> </w:t>
      </w:r>
      <w:r>
        <w:rPr/>
        <w:t>TRIM</w:t>
      </w:r>
      <w:r>
        <w:rPr>
          <w:spacing w:val="15"/>
        </w:rPr>
        <w:t> </w:t>
      </w:r>
      <w:r>
        <w:rPr/>
        <w:t>2023</w:t>
      </w:r>
      <w:r>
        <w:rPr>
          <w:spacing w:val="11"/>
        </w:rPr>
        <w:t> </w:t>
      </w:r>
      <w:r>
        <w:rPr/>
        <w:t>-</w:t>
      </w:r>
      <w:r>
        <w:rPr>
          <w:spacing w:val="14"/>
        </w:rPr>
        <w:t> </w:t>
      </w:r>
      <w:r>
        <w:rPr/>
        <w:t>CAUMS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7"/>
        <w:gridCol w:w="1392"/>
        <w:gridCol w:w="1532"/>
        <w:gridCol w:w="1385"/>
      </w:tblGrid>
      <w:tr>
        <w:trPr>
          <w:trHeight w:val="229" w:hRule="atLeast"/>
        </w:trPr>
        <w:tc>
          <w:tcPr>
            <w:tcW w:w="6846" w:type="dxa"/>
            <w:gridSpan w:val="4"/>
          </w:tcPr>
          <w:p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Execução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Orçamentária</w:t>
            </w:r>
          </w:p>
        </w:tc>
      </w:tr>
      <w:tr>
        <w:trPr>
          <w:trHeight w:val="479" w:hRule="atLeast"/>
        </w:trPr>
        <w:tc>
          <w:tcPr>
            <w:tcW w:w="6846" w:type="dxa"/>
            <w:gridSpan w:val="4"/>
          </w:tcPr>
          <w:p>
            <w:pPr>
              <w:pStyle w:val="TableParagraph"/>
              <w:spacing w:line="240" w:lineRule="auto" w:before="115"/>
              <w:ind w:left="73"/>
              <w:rPr>
                <w:b/>
                <w:sz w:val="19"/>
              </w:rPr>
            </w:pPr>
            <w:r>
              <w:rPr>
                <w:b/>
                <w:sz w:val="19"/>
              </w:rPr>
              <w:t>Execução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Orçamento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Receita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Resultado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Orçamentário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1081" w:right="10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Tipo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b/>
                <w:sz w:val="19"/>
              </w:rPr>
            </w:pPr>
            <w:r>
              <w:rPr>
                <w:b/>
                <w:sz w:val="19"/>
              </w:rPr>
              <w:t>Correntes</w:t>
            </w:r>
          </w:p>
        </w:tc>
        <w:tc>
          <w:tcPr>
            <w:tcW w:w="1532" w:type="dxa"/>
          </w:tcPr>
          <w:p>
            <w:pPr>
              <w:pStyle w:val="TableParagraph"/>
              <w:ind w:left="496"/>
              <w:rPr>
                <w:b/>
                <w:sz w:val="19"/>
              </w:rPr>
            </w:pPr>
            <w:r>
              <w:rPr>
                <w:b/>
                <w:sz w:val="19"/>
              </w:rPr>
              <w:t>Capital</w:t>
            </w:r>
          </w:p>
        </w:tc>
        <w:tc>
          <w:tcPr>
            <w:tcW w:w="1385" w:type="dxa"/>
          </w:tcPr>
          <w:p>
            <w:pPr>
              <w:pStyle w:val="TableParagraph"/>
              <w:ind w:left="443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Receita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Orçada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4.217.720,86</w:t>
            </w:r>
          </w:p>
        </w:tc>
        <w:tc>
          <w:tcPr>
            <w:tcW w:w="153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460.000,00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4.677.720,86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Receita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Arrecadada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1.241.570,87</w:t>
            </w:r>
          </w:p>
        </w:tc>
        <w:tc>
          <w:tcPr>
            <w:tcW w:w="1532" w:type="dxa"/>
          </w:tcPr>
          <w:p>
            <w:pPr>
              <w:pStyle w:val="TableParagraph"/>
              <w:ind w:right="26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1.241.570,87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Percentual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Arrecadado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29,44%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Despesa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Orçada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4.377.720,86</w:t>
            </w:r>
          </w:p>
        </w:tc>
        <w:tc>
          <w:tcPr>
            <w:tcW w:w="153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300.000,00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4.677.720,86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Despesa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Liquidada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753.718,65</w:t>
            </w:r>
          </w:p>
        </w:tc>
        <w:tc>
          <w:tcPr>
            <w:tcW w:w="153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14.176,13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767.894,78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Percentual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Realizado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17,22%</w:t>
            </w:r>
          </w:p>
        </w:tc>
        <w:tc>
          <w:tcPr>
            <w:tcW w:w="1532" w:type="dxa"/>
          </w:tcPr>
          <w:p>
            <w:pPr>
              <w:pStyle w:val="TableParagraph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4,73%</w:t>
            </w:r>
          </w:p>
        </w:tc>
        <w:tc>
          <w:tcPr>
            <w:tcW w:w="1385" w:type="dxa"/>
          </w:tcPr>
          <w:p>
            <w:pPr>
              <w:pStyle w:val="TableParagraph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16,42%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Reserva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Contingência</w:t>
            </w:r>
          </w:p>
        </w:tc>
        <w:tc>
          <w:tcPr>
            <w:tcW w:w="1392" w:type="dxa"/>
          </w:tcPr>
          <w:p>
            <w:pPr>
              <w:pStyle w:val="TableParagraph"/>
              <w:ind w:right="27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2917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color w:val="00AFEF"/>
                <w:sz w:val="19"/>
              </w:rPr>
              <w:t>Superávit</w:t>
            </w:r>
            <w:r>
              <w:rPr>
                <w:b/>
                <w:color w:val="00AFEF"/>
                <w:spacing w:val="-10"/>
                <w:sz w:val="19"/>
              </w:rPr>
              <w:t> </w:t>
            </w:r>
            <w:r>
              <w:rPr>
                <w:b/>
                <w:color w:val="00AFEF"/>
                <w:sz w:val="19"/>
              </w:rPr>
              <w:t>Orçamentário</w:t>
            </w:r>
          </w:p>
        </w:tc>
        <w:tc>
          <w:tcPr>
            <w:tcW w:w="1392" w:type="dxa"/>
          </w:tcPr>
          <w:p>
            <w:pPr>
              <w:pStyle w:val="TableParagraph"/>
              <w:ind w:right="78"/>
              <w:jc w:val="right"/>
              <w:rPr>
                <w:b/>
                <w:sz w:val="19"/>
              </w:rPr>
            </w:pPr>
            <w:r>
              <w:rPr>
                <w:b/>
                <w:color w:val="00AFEF"/>
                <w:sz w:val="19"/>
              </w:rPr>
              <w:t>473.676,09</w:t>
            </w:r>
          </w:p>
        </w:tc>
        <w:tc>
          <w:tcPr>
            <w:tcW w:w="291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color w:val="00AF50"/>
                <w:sz w:val="19"/>
              </w:rPr>
              <w:t>Superávit</w:t>
            </w:r>
            <w:r>
              <w:rPr>
                <w:b/>
                <w:color w:val="00AF50"/>
                <w:spacing w:val="-9"/>
                <w:sz w:val="19"/>
              </w:rPr>
              <w:t> </w:t>
            </w:r>
            <w:r>
              <w:rPr>
                <w:b/>
                <w:color w:val="00AF50"/>
                <w:sz w:val="19"/>
              </w:rPr>
              <w:t>Primário</w:t>
            </w:r>
          </w:p>
        </w:tc>
        <w:tc>
          <w:tcPr>
            <w:tcW w:w="1392" w:type="dxa"/>
          </w:tcPr>
          <w:p>
            <w:pPr>
              <w:pStyle w:val="TableParagraph"/>
              <w:ind w:right="78"/>
              <w:jc w:val="right"/>
              <w:rPr>
                <w:b/>
                <w:sz w:val="19"/>
              </w:rPr>
            </w:pPr>
            <w:r>
              <w:rPr>
                <w:b/>
                <w:color w:val="00AF50"/>
                <w:sz w:val="19"/>
              </w:rPr>
              <w:t>487.852,22</w:t>
            </w:r>
          </w:p>
        </w:tc>
        <w:tc>
          <w:tcPr>
            <w:tcW w:w="291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line="259" w:lineRule="auto"/>
        <w:ind w:left="150" w:right="2084"/>
      </w:pPr>
      <w:r>
        <w:rPr/>
        <w:t>O saldo disponível que passou para mês de abril de 2023 foi de </w:t>
      </w:r>
      <w:r>
        <w:rPr>
          <w:b/>
        </w:rPr>
        <w:t>R$ 3.035.077,05 </w:t>
      </w:r>
      <w:r>
        <w:rPr/>
        <w:t>que</w:t>
      </w:r>
      <w:r>
        <w:rPr>
          <w:spacing w:val="-40"/>
        </w:rPr>
        <w:t> </w:t>
      </w:r>
      <w:r>
        <w:rPr/>
        <w:t>está</w:t>
      </w:r>
      <w:r>
        <w:rPr>
          <w:spacing w:val="-1"/>
        </w:rPr>
        <w:t> </w:t>
      </w:r>
      <w:r>
        <w:rPr/>
        <w:t>demonstrado no Balanço</w:t>
      </w:r>
      <w:r>
        <w:rPr>
          <w:spacing w:val="-1"/>
        </w:rPr>
        <w:t> </w:t>
      </w:r>
      <w:r>
        <w:rPr/>
        <w:t>Patrimonial do mês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 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61" w:after="2"/>
        <w:ind w:left="339" w:right="0" w:hanging="190"/>
        <w:jc w:val="left"/>
      </w:pPr>
      <w:r>
        <w:rPr/>
        <w:t>Resultado</w:t>
      </w:r>
      <w:r>
        <w:rPr>
          <w:spacing w:val="-10"/>
        </w:rPr>
        <w:t> </w:t>
      </w:r>
      <w:r>
        <w:rPr/>
        <w:t>Financeiro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1385"/>
      </w:tblGrid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Saldo Disponível</w:t>
            </w:r>
          </w:p>
        </w:tc>
        <w:tc>
          <w:tcPr>
            <w:tcW w:w="1385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3.035.077,05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(-)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Passivo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Circulante</w:t>
            </w:r>
          </w:p>
        </w:tc>
        <w:tc>
          <w:tcPr>
            <w:tcW w:w="1385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692.162,77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(-)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Restos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pagar Não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Processado</w:t>
            </w:r>
          </w:p>
        </w:tc>
        <w:tc>
          <w:tcPr>
            <w:tcW w:w="1385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(=)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Superávit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Financeiro</w:t>
            </w:r>
          </w:p>
        </w:tc>
        <w:tc>
          <w:tcPr>
            <w:tcW w:w="1385" w:type="dxa"/>
          </w:tcPr>
          <w:p>
            <w:pPr>
              <w:pStyle w:val="TableParagraph"/>
              <w:ind w:left="277"/>
              <w:rPr>
                <w:b/>
                <w:sz w:val="19"/>
              </w:rPr>
            </w:pPr>
            <w:r>
              <w:rPr>
                <w:b/>
                <w:sz w:val="19"/>
              </w:rPr>
              <w:t>2.342.914,28</w:t>
            </w:r>
          </w:p>
        </w:tc>
      </w:tr>
    </w:tbl>
    <w:p>
      <w:pPr>
        <w:pStyle w:val="BodyText"/>
        <w:spacing w:line="259" w:lineRule="auto" w:before="116"/>
        <w:ind w:left="150" w:right="2272"/>
        <w:rPr>
          <w:b/>
        </w:rPr>
      </w:pPr>
      <w:r>
        <w:rPr/>
        <w:t>Após análise do Balanço Patrimonial do mês de março de 2023, verificou-se que o</w:t>
      </w:r>
      <w:r>
        <w:rPr>
          <w:spacing w:val="-40"/>
        </w:rPr>
        <w:t> </w:t>
      </w:r>
      <w:r>
        <w:rPr/>
        <w:t>CAUMS</w:t>
      </w:r>
      <w:r>
        <w:rPr>
          <w:spacing w:val="-2"/>
        </w:rPr>
        <w:t> </w:t>
      </w:r>
      <w:r>
        <w:rPr/>
        <w:t>passou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Superávit</w:t>
      </w:r>
      <w:r>
        <w:rPr>
          <w:spacing w:val="-3"/>
        </w:rPr>
        <w:t> </w:t>
      </w:r>
      <w:r>
        <w:rPr/>
        <w:t>Financeiro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valor de</w:t>
      </w:r>
      <w:r>
        <w:rPr>
          <w:spacing w:val="3"/>
        </w:rPr>
        <w:t> </w:t>
      </w:r>
      <w:r>
        <w:rPr>
          <w:b/>
        </w:rPr>
        <w:t>R$</w:t>
      </w:r>
      <w:r>
        <w:rPr>
          <w:b/>
          <w:spacing w:val="-2"/>
        </w:rPr>
        <w:t> </w:t>
      </w:r>
      <w:r>
        <w:rPr>
          <w:b/>
        </w:rPr>
        <w:t>2.342.914,28.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62" w:after="0"/>
        <w:ind w:left="339" w:right="0" w:hanging="190"/>
        <w:jc w:val="left"/>
      </w:pPr>
      <w:r>
        <w:rPr/>
        <w:t>Resultado</w:t>
      </w:r>
      <w:r>
        <w:rPr>
          <w:spacing w:val="-11"/>
        </w:rPr>
        <w:t> </w:t>
      </w:r>
      <w:r>
        <w:rPr/>
        <w:t>Patrimonial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1385"/>
      </w:tblGrid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VPA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1.782.931,41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VPD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755.674,81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(=)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Superávit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Patrimonial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1.027.256,60</w:t>
            </w:r>
          </w:p>
        </w:tc>
      </w:tr>
    </w:tbl>
    <w:p>
      <w:pPr>
        <w:pStyle w:val="BodyText"/>
        <w:spacing w:before="117"/>
        <w:ind w:left="150"/>
      </w:pPr>
      <w:r>
        <w:rPr/>
        <w:t>O</w:t>
      </w:r>
      <w:r>
        <w:rPr>
          <w:spacing w:val="-3"/>
        </w:rPr>
        <w:t> </w:t>
      </w:r>
      <w:r>
        <w:rPr/>
        <w:t>CAUMS</w:t>
      </w:r>
      <w:r>
        <w:rPr>
          <w:spacing w:val="-2"/>
        </w:rPr>
        <w:t> </w:t>
      </w:r>
      <w:r>
        <w:rPr/>
        <w:t>apresentou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Superávit</w:t>
      </w:r>
      <w:r>
        <w:rPr>
          <w:spacing w:val="-3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</w:p>
    <w:p>
      <w:pPr>
        <w:spacing w:before="17"/>
        <w:ind w:left="150" w:right="0" w:firstLine="0"/>
        <w:jc w:val="left"/>
        <w:rPr>
          <w:sz w:val="19"/>
        </w:rPr>
      </w:pPr>
      <w:r>
        <w:rPr>
          <w:b/>
          <w:sz w:val="19"/>
        </w:rPr>
        <w:t>1.027.256,60</w:t>
      </w:r>
      <w:r>
        <w:rPr>
          <w:sz w:val="19"/>
        </w:rPr>
        <w:t>,</w:t>
      </w:r>
      <w:r>
        <w:rPr>
          <w:spacing w:val="-6"/>
          <w:sz w:val="19"/>
        </w:rPr>
        <w:t> </w:t>
      </w:r>
      <w:r>
        <w:rPr>
          <w:sz w:val="19"/>
        </w:rPr>
        <w:t>conforme</w:t>
      </w:r>
      <w:r>
        <w:rPr>
          <w:spacing w:val="-8"/>
          <w:sz w:val="19"/>
        </w:rPr>
        <w:t> </w:t>
      </w:r>
      <w:r>
        <w:rPr>
          <w:sz w:val="19"/>
        </w:rPr>
        <w:t>demonstrado.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98" w:val="left" w:leader="none"/>
        </w:tabs>
        <w:spacing w:line="240" w:lineRule="auto" w:before="61" w:after="2"/>
        <w:ind w:left="297" w:right="0" w:hanging="148"/>
        <w:jc w:val="left"/>
      </w:pPr>
      <w:r>
        <w:rPr/>
        <w:t>Comparativo</w:t>
      </w:r>
      <w:r>
        <w:rPr>
          <w:spacing w:val="-9"/>
        </w:rPr>
        <w:t> </w:t>
      </w:r>
      <w:r>
        <w:rPr/>
        <w:t>Receita</w:t>
      </w:r>
      <w:r>
        <w:rPr>
          <w:spacing w:val="-6"/>
        </w:rPr>
        <w:t> </w:t>
      </w:r>
      <w:r>
        <w:rPr/>
        <w:t>(arrecadada)</w:t>
      </w:r>
      <w:r>
        <w:rPr>
          <w:spacing w:val="-7"/>
        </w:rPr>
        <w:t> </w:t>
      </w:r>
      <w:r>
        <w:rPr/>
        <w:t>Corrente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1385"/>
      </w:tblGrid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2022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1.079.666,14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2023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1.241.570,87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Variação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R$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161.904,73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Variação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385" w:type="dxa"/>
          </w:tcPr>
          <w:p>
            <w:pPr>
              <w:pStyle w:val="TableParagraph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15,00%</w:t>
            </w: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0" w:after="2"/>
        <w:ind w:left="297" w:right="0" w:hanging="148"/>
        <w:jc w:val="left"/>
        <w:rPr>
          <w:b/>
          <w:sz w:val="19"/>
        </w:rPr>
      </w:pPr>
      <w:r>
        <w:rPr>
          <w:b/>
          <w:spacing w:val="-1"/>
          <w:sz w:val="19"/>
        </w:rPr>
        <w:t>Comparativo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Despesa(realizada)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Corrente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1385"/>
      </w:tblGrid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2022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566.785,79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2023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753.718,65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Variação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R$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186.932,86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Variação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385" w:type="dxa"/>
          </w:tcPr>
          <w:p>
            <w:pPr>
              <w:pStyle w:val="TableParagraph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32,98%</w:t>
            </w:r>
          </w:p>
        </w:tc>
      </w:tr>
    </w:tbl>
    <w:p>
      <w:pPr>
        <w:pStyle w:val="BodyText"/>
        <w:spacing w:before="5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190"/>
        <w:jc w:val="left"/>
      </w:pPr>
      <w:r>
        <w:rPr/>
        <w:t>Gastos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Pessoal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Encargos</w:t>
      </w:r>
      <w:r>
        <w:rPr>
          <w:spacing w:val="-4"/>
        </w:rPr>
        <w:t> </w:t>
      </w:r>
      <w:r>
        <w:rPr/>
        <w:t>Sociais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relação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Receita</w:t>
      </w:r>
      <w:r>
        <w:rPr>
          <w:spacing w:val="-4"/>
        </w:rPr>
        <w:t> </w:t>
      </w:r>
      <w:r>
        <w:rPr/>
        <w:t>Arrecadada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1385"/>
      </w:tblGrid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Receita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Arrecadada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3.493.439,23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Despesa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Pessoal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1.372.185,47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gasto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s/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Receita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Arrecadada</w:t>
            </w:r>
          </w:p>
        </w:tc>
        <w:tc>
          <w:tcPr>
            <w:tcW w:w="1385" w:type="dxa"/>
          </w:tcPr>
          <w:p>
            <w:pPr>
              <w:pStyle w:val="TableParagraph"/>
              <w:ind w:left="777"/>
              <w:rPr>
                <w:b/>
                <w:sz w:val="19"/>
              </w:rPr>
            </w:pPr>
            <w:r>
              <w:rPr>
                <w:b/>
                <w:sz w:val="19"/>
              </w:rPr>
              <w:t>39,28%</w:t>
            </w: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461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2044700</wp:posOffset>
            </wp:positionH>
            <wp:positionV relativeFrom="paragraph">
              <wp:posOffset>-130741</wp:posOffset>
            </wp:positionV>
            <wp:extent cx="1737359" cy="4343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9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Brasília-DF,</w:t>
      </w:r>
      <w:r>
        <w:rPr>
          <w:spacing w:val="36"/>
        </w:rPr>
        <w:t> </w:t>
      </w:r>
      <w:r>
        <w:rPr/>
        <w:t>14/04/2023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198" w:right="2849"/>
        <w:jc w:val="center"/>
      </w:pPr>
      <w:r>
        <w:rPr/>
        <w:t>NÚCLEO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CONTABILIDADE</w:t>
      </w:r>
    </w:p>
    <w:p>
      <w:pPr>
        <w:pStyle w:val="BodyText"/>
        <w:spacing w:before="133"/>
        <w:ind w:left="1199" w:right="2849"/>
        <w:jc w:val="center"/>
      </w:pPr>
      <w:r>
        <w:rPr/>
        <w:t>GERÊNCIA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ORÇAMENTO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FINANÇAS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CAUBR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GERFIN</w:t>
      </w:r>
    </w:p>
    <w:sectPr>
      <w:type w:val="continuous"/>
      <w:pgSz w:w="11910" w:h="16840"/>
      <w:pgMar w:top="320" w:bottom="280" w:left="14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339" w:hanging="190"/>
        <w:jc w:val="left"/>
      </w:pPr>
      <w:rPr>
        <w:rFonts w:hint="default" w:ascii="Calibri" w:hAnsi="Calibri" w:eastAsia="Calibri" w:cs="Calibri"/>
        <w:b/>
        <w:bCs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1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4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5" w:hanging="19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9" w:hanging="190"/>
      <w:outlineLvl w:val="1"/>
    </w:pPr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786"/>
    </w:pPr>
    <w:rPr>
      <w:rFonts w:ascii="Calibri" w:hAnsi="Calibri" w:eastAsia="Calibri" w:cs="Calibri"/>
      <w:b/>
      <w:b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39" w:hanging="19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2023-05-10T15:21:57Z</dcterms:created>
  <dcterms:modified xsi:type="dcterms:W3CDTF">2023-05-10T15:21:57Z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2023-05-10T00:00:00Z</vt:filetime>
  </property>
</Properties>
</file>